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6"/>
        <w:gridCol w:w="282"/>
        <w:gridCol w:w="7229"/>
      </w:tblGrid>
      <w:tr>
        <w:trPr>
          <w:trHeight w:val="762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>Carboxyhaemoglobin</w:t>
            </w:r>
            <w:bookmarkStart w:id="0" w:name="_GoBack"/>
            <w:bookmarkEnd w:id="0"/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COHb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Investigation of possible carbon monoxide poisoning.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Ideally, blood should be collected as soon as possible after exposure; in an emergency situation if a patient has received oxygen before arrival the carboxyhaemoglobin levels may be misleadingly low.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In patients being investigated for domestic poisoning samples must be collected as soon as possible after exposure to the combustion products; if there is a delay in leaving the house and having the test done results may be misleadingly low.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Whole blood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1 ml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Lithium Heparin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38250" cy="428625"/>
                  <wp:effectExtent l="0" t="0" r="0" b="0"/>
                  <wp:docPr id="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Paediatric Green top (Lithium Heparin)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Or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38250" cy="342900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Paediatric Orange top (Lithium Heparin)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b/>
                <w:b/>
                <w:szCs w:val="22"/>
                <w:lang w:eastAsia="en-GB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Cs w:val="22"/>
                <w:lang w:val="en-GB" w:eastAsia="en-GB" w:bidi="ar-SA"/>
              </w:rPr>
              <w:t>Samples should be collected as soon as possible after exposure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Carbon monoxide is produced continuously in the body as a by-product of haem breakdown. This leads to a normal baseline COHb concentration of about 0.5%. In pregnancy and especially in haemolytic anaemias this can rise towards 5%. Cigarette smoking leads to COHb concentrations of up to about 13% in heavy smokers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Elimination Half-Life: On air: 250 minutes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                                    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On 100 % oxygen: 50 minutes</w:t>
            </w:r>
          </w:p>
          <w:p>
            <w:pPr>
              <w:pStyle w:val="NoSpacing"/>
              <w:widowControl/>
              <w:tabs>
                <w:tab w:val="clear" w:pos="720"/>
                <w:tab w:val="left" w:pos="5940" w:leader="none"/>
              </w:tabs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                                    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On Hyperbaric oxygen: 22 minutes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Interpretation &amp; Clinical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Letter from the Chief Medical Officer and Chief Nursing Officer dated 7th September 1998  (PL/CMO/98/5, PL/CNO/98/8)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COHB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Store whole blood at 4°C prior to analysis on blood gas analyser.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Analyse as soon as possible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1162050" cy="1564005"/>
            <wp:effectExtent l="0" t="0" r="0" b="0"/>
            <wp:docPr id="3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Calibri Light (Headings)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</w:t>
    </w:r>
    <w:r>
      <w:rPr>
        <w:b/>
        <w:bCs/>
        <w:sz w:val="16"/>
      </w:rPr>
      <w:t>3</w:t>
    </w:r>
    <w:r>
      <w:rPr>
        <w:b/>
        <w:bCs/>
        <w:sz w:val="16"/>
      </w:rPr>
      <w:t xml:space="preserve"> / </w:t>
    </w:r>
    <w:r>
      <w:rPr>
        <w:b/>
        <w:bCs/>
        <w:sz w:val="16"/>
      </w:rPr>
      <w:t>October 2024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2350135</wp:posOffset>
              </wp:positionH>
              <wp:positionV relativeFrom="paragraph">
                <wp:posOffset>-179705</wp:posOffset>
              </wp:positionV>
              <wp:extent cx="4610100" cy="942975"/>
              <wp:effectExtent l="0" t="0" r="0" b="0"/>
              <wp:wrapNone/>
              <wp:docPr id="4" name="Canvas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60" cy="942840"/>
                        <a:chOff x="0" y="0"/>
                        <a:chExt cx="4610160" cy="9428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4610160" cy="94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713320" y="0"/>
                          <a:ext cx="1819440" cy="90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Canvas 6" editas="canvas" style="margin-left:185.05pt;margin-top:-14.15pt;width:363pt;height:74.25pt" coordorigin="3701,-283" coordsize="7260,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left:3701;top:-283;width:7259;height:1484;mso-wrap-style:none;v-text-anchor:middle" type="_x0000_t75">
                <v:fill o:detectmouseclick="t" on="false"/>
                <v:stroke color="#3465a4" joinstyle="round" endcap="flat"/>
                <w10:wrap type="none"/>
              </v:shape>
              <v:shape id="shape_0" ID="Picture 1" stroked="f" o:allowincell="f" style="position:absolute;left:7974;top:-283;width:2864;height:1424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PF-PTD-84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29b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character" w:styleId="BalloonTextChar" w:customStyle="1">
    <w:name w:val="Balloon Text Char"/>
    <w:basedOn w:val="DefaultParagraphFont"/>
    <w:link w:val="BalloonText"/>
    <w:qFormat/>
    <w:rsid w:val="00461547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BalloonText">
    <w:name w:val="Balloon Text"/>
    <w:basedOn w:val="Normal"/>
    <w:link w:val="BalloonTextChar"/>
    <w:qFormat/>
    <w:rsid w:val="00461547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53F15C3</Template>
  <TotalTime>30</TotalTime>
  <Application>LibreOffice/7.4.7.2$Windows_X86_64 LibreOffice_project/723314e595e8007d3cf785c16538505a1c878ca5</Application>
  <AppVersion>15.0000</AppVersion>
  <Pages>2</Pages>
  <Words>277</Words>
  <Characters>1537</Characters>
  <CharactersWithSpaces>1855</CharactersWithSpaces>
  <Paragraphs>42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2017-12-21T15:18:00Z</dcterms:created>
  <dc:creator>Katherine Reade</dc:creator>
  <dc:description/>
  <dc:language>en-GB</dc:language>
  <cp:lastModifiedBy/>
  <cp:lastPrinted>2013-05-21T17:03:00Z</cp:lastPrinted>
  <dcterms:modified xsi:type="dcterms:W3CDTF">2024-10-21T11:50:03Z</dcterms:modified>
  <cp:revision>12</cp:revision>
  <dc:subject/>
  <dc:title>Carboxyhaemoglobin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