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TableGrid"/>
        <w:tblW w:w="10631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2837"/>
        <w:gridCol w:w="281"/>
        <w:gridCol w:w="7230"/>
      </w:tblGrid>
      <w:tr>
        <w:trPr>
          <w:trHeight w:val="985" w:hRule="atLeast"/>
        </w:trPr>
        <w:tc>
          <w:tcPr>
            <w:tcW w:w="10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36"/>
              </w:rPr>
            </w:pP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t xml:space="preserve">Blood Group Phenotype / Rh Genotype  </w:t>
            </w: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drawing>
                <wp:inline distT="0" distB="0" distL="0" distR="0">
                  <wp:extent cx="1238250" cy="115506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Synonyms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Phenotype / Pheno / Genotype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Clinical Indication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Directed by laboratory following preliminary screening tests or performed as part of antibody investigation. First presentation (Pre Transfusion) transfusion dependant patients, e.g. Sickle Cell.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Part of Profile / See Also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Part of antibody identification procedure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Request Form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lang w:eastAsia="en-GB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eastAsia="en-GB" w:bidi="ar-SA"/>
              </w:rPr>
              <w:t>Combined Pathology manual Blood form,  Blood Transfusion form or ICE request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Availability / Frequency of Analysis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On request / part of antibody identification procedure.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Turnaround Time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Same day (Mon-Fri) Unless sent to NBS Reference centre (up to 10 days)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Patient Preparation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Sample Requirements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Specimen Type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Whole Blood</w:t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Volume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GB" w:bidi="ar-SA"/>
              </w:rPr>
              <w:t>Patient aged 12 years to Adult: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 1 x 6ml EDTA sample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GB" w:bidi="ar-SA"/>
              </w:rPr>
              <w:t>Patient aged  &gt; 4 months, up to 12 years old :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 xml:space="preserve"> Minimum 1 x 2ml EDTA sample, bled into either 4ml or 6 ml EDTA sample bottle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GB" w:bidi="ar-SA"/>
              </w:rPr>
              <w:t xml:space="preserve">Patient &lt; 4 months old: </w:t>
            </w: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1 x 1ml EDTA bled into paediatric sample bottle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Container</w:t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Basildon Site:</w:t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Southend Site:</w:t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ind w:firstLine="72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mc:AlternateContent>
                <mc:Choice Requires="wps">
                  <w:drawing>
                    <wp:anchor behindDoc="0" distT="45720" distB="45720" distL="114300" distR="114300" simplePos="0" locked="0" layoutInCell="1" allowOverlap="1" relativeHeight="7" wp14:anchorId="420E540F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4445</wp:posOffset>
                      </wp:positionV>
                      <wp:extent cx="1981200" cy="514350"/>
                      <wp:effectExtent l="0" t="0" r="0" b="0"/>
                      <wp:wrapSquare wrapText="bothSides"/>
                      <wp:docPr id="2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080" cy="51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 ml Purple Top EDTA tube bottle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84.25pt;margin-top:0.35pt;width:155.95pt;height:40.45pt;mso-wrap-style:square;v-text-anchor:top" wp14:anchorId="420E540F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 ml Purple Top EDTA tube bottle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2037080" cy="546100"/>
                  <wp:effectExtent l="0" t="0" r="0" b="0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                                  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mc:AlternateContent>
                <mc:Choice Requires="wps">
                  <w:drawing>
                    <wp:anchor behindDoc="0" distT="45085" distB="53975" distL="113665" distR="123825" simplePos="0" locked="0" layoutInCell="1" allowOverlap="1" relativeHeight="9" wp14:anchorId="77FDFB2F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111760</wp:posOffset>
                      </wp:positionV>
                      <wp:extent cx="2505075" cy="466725"/>
                      <wp:effectExtent l="635" t="635" r="0" b="0"/>
                      <wp:wrapSquare wrapText="bothSides"/>
                      <wp:docPr id="5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240" cy="46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zCs w:val="22"/>
                                      <w:lang w:eastAsia="en-GB"/>
                                    </w:rPr>
                                    <w:t xml:space="preserve">Paediatric 1 x Sarstedt EDTA KE/1.3 Micro tubes with red Screw Cap                                                         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17.5pt;margin-top:8.8pt;width:197.2pt;height:36.7pt;mso-wrap-style:square;v-text-anchor:top" wp14:anchorId="77FDFB2F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Cs w:val="22"/>
                                <w:lang w:eastAsia="en-GB"/>
                              </w:rPr>
                              <w:t xml:space="preserve">Paediatric 1 x Sarstedt EDTA KE/1.3 Micro tubes with red Screw Cap                                                         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  </w:t>
            </w:r>
            <w:r>
              <w:rPr/>
              <mc:AlternateContent>
                <mc:Choice Requires="wps">
                  <w:drawing>
                    <wp:inline distT="0" distB="0" distL="0" distR="0" wp14:anchorId="69B49C5C">
                      <wp:extent cx="618490" cy="1170940"/>
                      <wp:effectExtent l="15875" t="14605" r="0" b="0"/>
                      <wp:docPr id="7" name="Picture 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 rot="5400000">
                                <a:off x="0" y="0"/>
                                <a:ext cx="618480" cy="11710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1" stroked="f" o:allowincell="f" style="position:absolute;margin-left:21.75pt;margin-top:-71.6pt;width:48.65pt;height:92.15pt;mso-wrap-style:none;v-text-anchor:middle;rotation:90;mso-position-vertical:top" wp14:anchorId="69B49C5C" type="_x0000_t75">
                      <v:imagedata r:id="rId5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mc:AlternateContent>
                <mc:Choice Requires="wps">
                  <w:drawing>
                    <wp:anchor behindDoc="0" distT="44450" distB="64770" distL="114300" distR="114300" simplePos="0" locked="0" layoutInCell="1" allowOverlap="1" relativeHeight="11" wp14:anchorId="27B8EC69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149225</wp:posOffset>
                      </wp:positionV>
                      <wp:extent cx="2152650" cy="447675"/>
                      <wp:effectExtent l="0" t="0" r="0" b="9525"/>
                      <wp:wrapSquare wrapText="bothSides"/>
                      <wp:docPr id="8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800" cy="44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zCs w:val="22"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zCs w:val="22"/>
                                      <w:lang w:eastAsia="en-GB"/>
                                    </w:rPr>
                                    <w:t xml:space="preserve">6 ml Pink Top (EDTA) tube                          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79pt;margin-top:11.75pt;width:169.45pt;height:35.2pt;mso-wrap-style:square;v-text-anchor:top" wp14:anchorId="27B8EC69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Cs w:val="22"/>
                                <w:lang w:eastAsia="en-GB"/>
                              </w:rPr>
                              <w:t xml:space="preserve">6 ml Pink Top (EDTA) tube                         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/>
              <w:object w:dxaOrig="2700" w:dyaOrig="720">
                <v:shapetype id="_x0000_tole_rId6" coordsize="21600,21600" o:spt="ole_rId6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6" type="_x0000_tole_rId6" style="width:169pt;height:45pt;mso-wrap-distance-right:0pt;mso-wrap-distance-bottom:5pt" filled="f" o:ole="">
                  <v:imagedata r:id="rId7" o:title=""/>
                </v:shape>
                <o:OLEObject Type="Embed" ProgID="PBrush" ShapeID="ole_rId6" DrawAspect="Content" ObjectID="_431494998" r:id="rId6"/>
              </w:objec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                              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mc:AlternateContent>
                <mc:Choice Requires="wps">
                  <w:drawing>
                    <wp:anchor behindDoc="0" distT="45085" distB="53975" distL="113665" distR="123825" simplePos="0" locked="0" layoutInCell="1" allowOverlap="1" relativeHeight="13" wp14:anchorId="26F93C82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58420</wp:posOffset>
                      </wp:positionV>
                      <wp:extent cx="2295525" cy="447675"/>
                      <wp:effectExtent l="635" t="635" r="0" b="0"/>
                      <wp:wrapSquare wrapText="bothSides"/>
                      <wp:docPr id="10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360" cy="44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zCs w:val="22"/>
                                      <w:lang w:eastAsia="en-GB"/>
                                    </w:rPr>
                                    <w:t>Pink Top EDTA (Microtainer)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28.75pt;margin-top:4.6pt;width:180.7pt;height:35.2pt;mso-wrap-style:square;v-text-anchor:top" wp14:anchorId="26F93C82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Cs w:val="22"/>
                                <w:lang w:eastAsia="en-GB"/>
                              </w:rPr>
                              <w:t>Pink Top EDTA (Microtainer)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314450" cy="403860"/>
                  <wp:effectExtent l="0" t="0" r="0" b="0"/>
                  <wp:docPr id="12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  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Cs w:val="22"/>
                <w:lang w:val="en-GB" w:eastAsia="en-GB" w:bidi="ar-SA"/>
              </w:rPr>
              <w:t>Samples should be transported to laboratory immediately with full details of patient history / reason for testing.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 Range &amp; Units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Interferences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Recent Transfusion may give false phenotype results.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 xml:space="preserve">Interpretation &amp; Clinical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Decision Value (if applicable)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Test code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Lab Handling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  <w:t xml:space="preserve">                                                                                                                                                                           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754" w:right="856" w:gutter="0" w:header="284" w:top="1560" w:footer="299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sz w:val="16"/>
      </w:rPr>
      <w:t>Version 1.4 / October 2024</w:t>
      <w:tab/>
      <w:t>Approved by: Consultant Haematologist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sz w:val="16"/>
      </w:rPr>
      <w:t>Version 1.4 / October 2024</w:t>
      <w:tab/>
      <w:t>Approved by: Consultant Haematologist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2</w:t>
    </w:r>
    <w:r>
      <w:rPr>
        <w:sz w:val="16"/>
        <w:b/>
        <w:bCs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n-GB"/>
      </w:rPr>
    </w:pPr>
    <w:r>
      <w:rPr>
        <w:lang w:eastAsia="en-GB"/>
      </w:rPr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5448300</wp:posOffset>
          </wp:positionH>
          <wp:positionV relativeFrom="paragraph">
            <wp:posOffset>137160</wp:posOffset>
          </wp:positionV>
          <wp:extent cx="1272540" cy="425450"/>
          <wp:effectExtent l="0" t="0" r="0" b="0"/>
          <wp:wrapNone/>
          <wp:docPr id="13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>
        <w:sz w:val="14"/>
        <w:szCs w:val="14"/>
      </w:rPr>
    </w:pPr>
    <w:r>
      <w:rPr>
        <w:sz w:val="14"/>
        <w:szCs w:val="14"/>
      </w:rPr>
    </w:r>
  </w:p>
  <w:p>
    <w:pPr>
      <w:pStyle w:val="Header"/>
      <w:jc w:val="right"/>
      <w:rPr>
        <w:b/>
        <w:b/>
        <w:sz w:val="16"/>
        <w:szCs w:val="14"/>
      </w:rPr>
    </w:pPr>
    <w:r>
      <w:rPr>
        <w:b/>
        <w:sz w:val="16"/>
        <w:szCs w:val="14"/>
      </w:rPr>
      <w:t>PF-PTD-56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n-GB"/>
      </w:rPr>
    </w:pPr>
    <w:r>
      <w:rPr>
        <w:lang w:eastAsia="en-GB"/>
      </w:rPr>
      <w:drawing>
        <wp:anchor behindDoc="1" distT="0" distB="0" distL="0" distR="0" simplePos="0" locked="0" layoutInCell="0" allowOverlap="1" relativeHeight="6">
          <wp:simplePos x="0" y="0"/>
          <wp:positionH relativeFrom="margin">
            <wp:posOffset>5448300</wp:posOffset>
          </wp:positionH>
          <wp:positionV relativeFrom="paragraph">
            <wp:posOffset>137160</wp:posOffset>
          </wp:positionV>
          <wp:extent cx="1272540" cy="425450"/>
          <wp:effectExtent l="0" t="0" r="0" b="0"/>
          <wp:wrapNone/>
          <wp:docPr id="14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>
        <w:sz w:val="14"/>
        <w:szCs w:val="14"/>
      </w:rPr>
    </w:pPr>
    <w:r>
      <w:rPr>
        <w:sz w:val="14"/>
        <w:szCs w:val="14"/>
      </w:rPr>
    </w:r>
  </w:p>
  <w:p>
    <w:pPr>
      <w:pStyle w:val="Header"/>
      <w:jc w:val="right"/>
      <w:rPr>
        <w:b/>
        <w:b/>
        <w:sz w:val="16"/>
        <w:szCs w:val="14"/>
      </w:rPr>
    </w:pPr>
    <w:r>
      <w:rPr>
        <w:b/>
        <w:sz w:val="16"/>
        <w:szCs w:val="14"/>
      </w:rPr>
      <w:t>PF-PTD-56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29b1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rsid w:val="00410abf"/>
    <w:pPr>
      <w:keepNext w:val="true"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s" w:customStyle="1">
    <w:name w:val="Headings"/>
    <w:qFormat/>
    <w:rsid w:val="00cd78d1"/>
    <w:rPr>
      <w:rFonts w:ascii="Arial" w:hAnsi="Arial"/>
      <w:b/>
      <w:bCs/>
      <w:sz w:val="24"/>
    </w:rPr>
  </w:style>
  <w:style w:type="character" w:styleId="FooterChar" w:customStyle="1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styleId="Heading4Char" w:customStyle="1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styleId="BodyTextTables2" w:customStyle="1">
    <w:name w:val="Body Text - Tables 2"/>
    <w:qFormat/>
    <w:rsid w:val="0059753c"/>
    <w:rPr>
      <w:rFonts w:ascii="Arial" w:hAnsi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BodyTextFrontPage" w:customStyle="1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Contents2">
    <w:name w:val="TOC 2"/>
    <w:basedOn w:val="Heading2"/>
    <w:next w:val="Normal"/>
    <w:autoRedefine/>
    <w:semiHidden/>
    <w:rsid w:val="00a6576b"/>
    <w:pPr>
      <w:keepNext w:val="false"/>
      <w:spacing w:before="120" w:after="0"/>
      <w:ind w:left="220" w:hanging="0"/>
      <w:outlineLvl w:val="9"/>
    </w:pPr>
    <w:rPr>
      <w:rFonts w:cs="Times New Roman"/>
      <w:b w:val="false"/>
      <w:bCs w:val="false"/>
      <w:iCs/>
      <w:szCs w:val="20"/>
      <w:lang w:val="en-GB"/>
    </w:rPr>
  </w:style>
  <w:style w:type="paragraph" w:styleId="Contents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Contents3">
    <w:name w:val="TOC 3"/>
    <w:basedOn w:val="Normal"/>
    <w:next w:val="Normal"/>
    <w:autoRedefine/>
    <w:semiHidden/>
    <w:rsid w:val="00a6576b"/>
    <w:pPr>
      <w:ind w:left="440" w:hanging="0"/>
    </w:pPr>
    <w:rPr/>
  </w:style>
  <w:style w:type="paragraph" w:styleId="Contents4">
    <w:name w:val="TOC 4"/>
    <w:basedOn w:val="Normal"/>
    <w:next w:val="Normal"/>
    <w:autoRedefine/>
    <w:semiHidden/>
    <w:pPr>
      <w:ind w:left="660" w:hanging="0"/>
    </w:pPr>
    <w:rPr>
      <w:rFonts w:ascii="Times New Roman" w:hAnsi="Times New Roman"/>
      <w:sz w:val="20"/>
    </w:rPr>
  </w:style>
  <w:style w:type="paragraph" w:styleId="Contents5">
    <w:name w:val="TOC 5"/>
    <w:basedOn w:val="Normal"/>
    <w:next w:val="Normal"/>
    <w:autoRedefine/>
    <w:semiHidden/>
    <w:pPr>
      <w:ind w:left="880" w:hanging="0"/>
    </w:pPr>
    <w:rPr>
      <w:rFonts w:ascii="Times New Roman" w:hAnsi="Times New Roman"/>
      <w:sz w:val="20"/>
    </w:rPr>
  </w:style>
  <w:style w:type="paragraph" w:styleId="Contents6">
    <w:name w:val="TOC 6"/>
    <w:basedOn w:val="Normal"/>
    <w:next w:val="Normal"/>
    <w:autoRedefine/>
    <w:semiHidden/>
    <w:pPr>
      <w:ind w:left="1100" w:hanging="0"/>
    </w:pPr>
    <w:rPr>
      <w:rFonts w:ascii="Times New Roman" w:hAnsi="Times New Roman"/>
      <w:sz w:val="20"/>
    </w:rPr>
  </w:style>
  <w:style w:type="paragraph" w:styleId="Contents7">
    <w:name w:val="TOC 7"/>
    <w:basedOn w:val="Normal"/>
    <w:next w:val="Normal"/>
    <w:autoRedefine/>
    <w:semiHidden/>
    <w:pPr>
      <w:ind w:left="1320" w:hanging="0"/>
    </w:pPr>
    <w:rPr>
      <w:rFonts w:ascii="Times New Roman" w:hAnsi="Times New Roman"/>
      <w:sz w:val="20"/>
    </w:rPr>
  </w:style>
  <w:style w:type="paragraph" w:styleId="Contents8">
    <w:name w:val="TOC 8"/>
    <w:basedOn w:val="Normal"/>
    <w:next w:val="Normal"/>
    <w:autoRedefine/>
    <w:semiHidden/>
    <w:pPr>
      <w:ind w:left="1540" w:hanging="0"/>
    </w:pPr>
    <w:rPr>
      <w:rFonts w:ascii="Times New Roman" w:hAnsi="Times New Roman"/>
      <w:sz w:val="20"/>
    </w:rPr>
  </w:style>
  <w:style w:type="paragraph" w:styleId="Contents9">
    <w:name w:val="TOC 9"/>
    <w:basedOn w:val="Normal"/>
    <w:next w:val="Normal"/>
    <w:autoRedefine/>
    <w:semiHidden/>
    <w:pPr>
      <w:ind w:left="1760" w:hanging="0"/>
    </w:pPr>
    <w:rPr>
      <w:rFonts w:ascii="Times New Roman" w:hAnsi="Times New Roman"/>
      <w:sz w:val="20"/>
    </w:rPr>
  </w:style>
  <w:style w:type="paragraph" w:styleId="MainTitle" w:customStyle="1">
    <w:name w:val="Main Title"/>
    <w:basedOn w:val="Heading1"/>
    <w:qFormat/>
    <w:rsid w:val="00d838b4"/>
    <w:pPr>
      <w:jc w:val="center"/>
    </w:pPr>
    <w:rPr>
      <w:bCs/>
      <w:iCs w:val="false"/>
      <w:sz w:val="40"/>
    </w:rPr>
  </w:style>
  <w:style w:type="paragraph" w:styleId="BodyText2ndlevel" w:customStyle="1">
    <w:name w:val="Body Text - 2nd level"/>
    <w:basedOn w:val="Normal"/>
    <w:qFormat/>
    <w:rsid w:val="0002557f"/>
    <w:pPr>
      <w:ind w:left="1066" w:hanging="0"/>
    </w:pPr>
    <w:rPr>
      <w:sz w:val="24"/>
    </w:rPr>
  </w:style>
  <w:style w:type="paragraph" w:styleId="Bodytext1stLevel" w:customStyle="1">
    <w:name w:val="Body text - 1st Level"/>
    <w:basedOn w:val="Normal"/>
    <w:qFormat/>
    <w:rsid w:val="0002557f"/>
    <w:pPr>
      <w:ind w:left="390" w:hanging="0"/>
    </w:pPr>
    <w:rPr>
      <w:sz w:val="24"/>
    </w:rPr>
  </w:style>
  <w:style w:type="paragraph" w:styleId="NoSpacing">
    <w:name w:val="No Spacing"/>
    <w:uiPriority w:val="1"/>
    <w:qFormat/>
    <w:rsid w:val="0038620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e56000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beringMain" w:customStyle="1">
    <w:name w:val="Numbering - Main"/>
    <w:qFormat/>
    <w:rsid w:val="00620713"/>
  </w:style>
  <w:style w:type="numbering" w:styleId="Numbering2ndLevel" w:customStyle="1">
    <w:name w:val="Numbering - 2nd Level"/>
    <w:qFormat/>
    <w:rsid w:val="00891dbe"/>
  </w:style>
  <w:style w:type="numbering" w:styleId="StyleBulleted" w:customStyle="1">
    <w:name w:val="Style Bulleted"/>
    <w:qFormat/>
    <w:rsid w:val="00fa1752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d7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oleObject" Target="embeddings/oleObject1.bin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20D0-31C3-4701-8B0E-4D7682DC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LibreOffice/7.4.7.2$Windows_X86_64 LibreOffice_project/723314e595e8007d3cf785c16538505a1c878ca5</Application>
  <AppVersion>15.0000</AppVersion>
  <Pages>2</Pages>
  <Words>253</Words>
  <Characters>1349</Characters>
  <CharactersWithSpaces>2020</CharactersWithSpaces>
  <Paragraphs>45</Paragraphs>
  <Company>Basildon &amp; Thurrock GHT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2019-02-11T16:06:00Z</dcterms:created>
  <dc:creator>Katherine Reade</dc:creator>
  <dc:description/>
  <dc:language>en-GB</dc:language>
  <cp:lastModifiedBy/>
  <cp:lastPrinted>2013-05-21T17:03:00Z</cp:lastPrinted>
  <dcterms:modified xsi:type="dcterms:W3CDTF">2024-10-31T17:15:19Z</dcterms:modified>
  <cp:revision>15</cp:revision>
  <dc:subject/>
  <dc:title>Blood Group Phenotype / Rh Genotype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