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28D1" w14:textId="092B267B" w:rsidR="000319DA" w:rsidRPr="000319DA" w:rsidRDefault="00060E03" w:rsidP="000319DA"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3472355F" wp14:editId="7415A172">
            <wp:simplePos x="0" y="0"/>
            <wp:positionH relativeFrom="column">
              <wp:posOffset>3388360</wp:posOffset>
            </wp:positionH>
            <wp:positionV relativeFrom="paragraph">
              <wp:posOffset>-598170</wp:posOffset>
            </wp:positionV>
            <wp:extent cx="476250" cy="8058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3669848D" w14:textId="77777777" w:rsidTr="00915212">
        <w:trPr>
          <w:trHeight w:val="762"/>
        </w:trPr>
        <w:tc>
          <w:tcPr>
            <w:tcW w:w="10631" w:type="dxa"/>
            <w:gridSpan w:val="4"/>
          </w:tcPr>
          <w:p w14:paraId="233EAC6D" w14:textId="5B9F4BC8" w:rsidR="009F0B13" w:rsidRPr="00915212" w:rsidRDefault="008A5413" w:rsidP="00D02F0C">
            <w:pPr>
              <w:rPr>
                <w:b/>
                <w:sz w:val="36"/>
              </w:rPr>
            </w:pPr>
            <w:r w:rsidRPr="00915212">
              <w:rPr>
                <w:b/>
                <w:sz w:val="36"/>
              </w:rPr>
              <w:t>AST</w:t>
            </w:r>
          </w:p>
        </w:tc>
      </w:tr>
      <w:tr w:rsidR="009F0B13" w:rsidRPr="00F23565" w14:paraId="467EB4A0" w14:textId="77777777" w:rsidTr="008A54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90EDC7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1A2D2A8F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1C67B8D" w14:textId="77777777" w:rsidR="00BA2D6B" w:rsidRPr="0060596E" w:rsidRDefault="008A5413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A5413">
              <w:rPr>
                <w:rFonts w:asciiTheme="minorHAnsi" w:hAnsiTheme="minorHAnsi"/>
                <w:szCs w:val="22"/>
              </w:rPr>
              <w:t>SGOT, aspartate aminotransferase</w:t>
            </w:r>
          </w:p>
        </w:tc>
      </w:tr>
      <w:tr w:rsidR="00BA2D6B" w:rsidRPr="00F23565" w14:paraId="14C034CB" w14:textId="77777777" w:rsidTr="008A5413">
        <w:tc>
          <w:tcPr>
            <w:tcW w:w="3119" w:type="dxa"/>
            <w:gridSpan w:val="2"/>
          </w:tcPr>
          <w:p w14:paraId="05E4474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218E360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7BB3A80" w14:textId="77777777" w:rsidR="00BA2D6B" w:rsidRPr="0060596E" w:rsidRDefault="008A5413" w:rsidP="003862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8A5413">
              <w:rPr>
                <w:rFonts w:asciiTheme="minorHAnsi" w:hAnsiTheme="minorHAnsi"/>
                <w:szCs w:val="22"/>
                <w:lang w:eastAsia="en-GB"/>
              </w:rPr>
              <w:t xml:space="preserve">AST is usually used to detect liver damage where an AST:ALT ratio of more than 2:0 is suggestive of alcoholic liver disease; </w:t>
            </w:r>
            <w:proofErr w:type="gramStart"/>
            <w:r w:rsidRPr="008A5413">
              <w:rPr>
                <w:rFonts w:asciiTheme="minorHAnsi" w:hAnsiTheme="minorHAnsi"/>
                <w:szCs w:val="22"/>
                <w:lang w:eastAsia="en-GB"/>
              </w:rPr>
              <w:t>however</w:t>
            </w:r>
            <w:proofErr w:type="gramEnd"/>
            <w:r w:rsidRPr="008A5413">
              <w:rPr>
                <w:rFonts w:asciiTheme="minorHAnsi" w:hAnsiTheme="minorHAnsi"/>
                <w:szCs w:val="22"/>
                <w:lang w:eastAsia="en-GB"/>
              </w:rPr>
              <w:t xml:space="preserve"> this result does not preclude other diagnoses.</w:t>
            </w:r>
          </w:p>
        </w:tc>
      </w:tr>
      <w:tr w:rsidR="009F0B13" w:rsidRPr="00F23565" w14:paraId="1DEBC9FC" w14:textId="77777777" w:rsidTr="008A54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CB5FFA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5D1C799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8714EE1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5A725B84" w14:textId="77777777" w:rsidTr="008A5413">
        <w:tc>
          <w:tcPr>
            <w:tcW w:w="3119" w:type="dxa"/>
            <w:gridSpan w:val="2"/>
          </w:tcPr>
          <w:p w14:paraId="79B07D85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02CC414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0F0A18C" w14:textId="77777777" w:rsidR="00BA2D6B" w:rsidRPr="0060596E" w:rsidRDefault="008A5413" w:rsidP="009152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8A5413">
              <w:rPr>
                <w:rFonts w:asciiTheme="minorHAnsi" w:hAnsiTheme="minorHAnsi"/>
                <w:szCs w:val="22"/>
                <w:lang w:eastAsia="en-GB"/>
              </w:rPr>
              <w:t xml:space="preserve">Combined Pathology </w:t>
            </w:r>
            <w:r w:rsidR="00915212">
              <w:rPr>
                <w:rFonts w:asciiTheme="minorHAnsi" w:hAnsiTheme="minorHAnsi"/>
                <w:szCs w:val="22"/>
                <w:lang w:eastAsia="en-GB"/>
              </w:rPr>
              <w:t xml:space="preserve">manual </w:t>
            </w:r>
            <w:r w:rsidRPr="008A5413">
              <w:rPr>
                <w:rFonts w:asciiTheme="minorHAnsi" w:hAnsiTheme="minorHAnsi"/>
                <w:szCs w:val="22"/>
                <w:lang w:eastAsia="en-GB"/>
              </w:rPr>
              <w:t xml:space="preserve">Blood form </w:t>
            </w:r>
            <w:r w:rsidR="00915212">
              <w:rPr>
                <w:rFonts w:asciiTheme="minorHAnsi" w:hAnsiTheme="minorHAnsi"/>
                <w:szCs w:val="22"/>
                <w:lang w:eastAsia="en-GB"/>
              </w:rPr>
              <w:t>or ICE request</w:t>
            </w:r>
          </w:p>
        </w:tc>
      </w:tr>
      <w:tr w:rsidR="00BA2D6B" w:rsidRPr="00F23565" w14:paraId="2A86BAA0" w14:textId="77777777" w:rsidTr="008A54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02DB7D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24F2614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18A1CFD" w14:textId="77777777" w:rsidR="00BA2D6B" w:rsidRPr="0060596E" w:rsidRDefault="008A5413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8A5413">
              <w:rPr>
                <w:rFonts w:asciiTheme="minorHAnsi" w:hAnsiTheme="minorHAnsi"/>
                <w:szCs w:val="22"/>
                <w:lang w:eastAsia="en-GB"/>
              </w:rPr>
              <w:t>On request</w:t>
            </w:r>
          </w:p>
        </w:tc>
      </w:tr>
      <w:tr w:rsidR="00BA2D6B" w:rsidRPr="00F23565" w14:paraId="3EB8500C" w14:textId="77777777" w:rsidTr="008A5413">
        <w:tc>
          <w:tcPr>
            <w:tcW w:w="3119" w:type="dxa"/>
            <w:gridSpan w:val="2"/>
          </w:tcPr>
          <w:p w14:paraId="0DB2661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100451A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0BD06BE" w14:textId="77777777" w:rsidR="00BA2D6B" w:rsidRPr="0060596E" w:rsidRDefault="008A5413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A5413">
              <w:rPr>
                <w:rFonts w:asciiTheme="minorHAnsi" w:hAnsiTheme="minorHAnsi"/>
                <w:szCs w:val="22"/>
              </w:rPr>
              <w:t>Same day</w:t>
            </w:r>
          </w:p>
        </w:tc>
      </w:tr>
      <w:tr w:rsidR="00BA2D6B" w:rsidRPr="00F23565" w14:paraId="216A7029" w14:textId="77777777" w:rsidTr="008A54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FE3B437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1D8567A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1E6BBC0" w14:textId="77777777" w:rsidR="008A5413" w:rsidRPr="008A5413" w:rsidRDefault="008A5413" w:rsidP="008A5413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A5413">
              <w:rPr>
                <w:rFonts w:asciiTheme="minorHAnsi" w:hAnsiTheme="minorHAnsi"/>
                <w:szCs w:val="22"/>
              </w:rPr>
              <w:t>None</w:t>
            </w:r>
          </w:p>
          <w:p w14:paraId="2BBD8A2B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22A06F52" w14:textId="77777777" w:rsidTr="008A5413">
        <w:tc>
          <w:tcPr>
            <w:tcW w:w="3119" w:type="dxa"/>
            <w:gridSpan w:val="2"/>
          </w:tcPr>
          <w:p w14:paraId="0B5D94E3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2025809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9C2D634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036E5C3B" w14:textId="77777777" w:rsidTr="008A5413">
        <w:trPr>
          <w:gridBefore w:val="1"/>
          <w:wBefore w:w="284" w:type="dxa"/>
        </w:trPr>
        <w:tc>
          <w:tcPr>
            <w:tcW w:w="2835" w:type="dxa"/>
          </w:tcPr>
          <w:p w14:paraId="7FDB5BE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1D609E5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EA6E365" w14:textId="77777777" w:rsidR="00BA2D6B" w:rsidRPr="0060596E" w:rsidRDefault="008A5413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A5413">
              <w:rPr>
                <w:rFonts w:asciiTheme="minorHAnsi" w:hAnsiTheme="minorHAnsi"/>
                <w:szCs w:val="22"/>
              </w:rPr>
              <w:t>Serum</w:t>
            </w:r>
            <w:r w:rsidR="00A16E7E">
              <w:rPr>
                <w:rFonts w:asciiTheme="minorHAnsi" w:hAnsiTheme="minorHAnsi"/>
                <w:szCs w:val="22"/>
              </w:rPr>
              <w:t xml:space="preserve"> and plasma.</w:t>
            </w:r>
          </w:p>
        </w:tc>
      </w:tr>
      <w:tr w:rsidR="00BA2D6B" w:rsidRPr="00F23565" w14:paraId="4596B50C" w14:textId="77777777" w:rsidTr="008A5413">
        <w:trPr>
          <w:gridBefore w:val="1"/>
          <w:wBefore w:w="284" w:type="dxa"/>
        </w:trPr>
        <w:tc>
          <w:tcPr>
            <w:tcW w:w="2835" w:type="dxa"/>
          </w:tcPr>
          <w:p w14:paraId="3BD5024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75C606A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8FA4E32" w14:textId="77777777" w:rsidR="00BA2D6B" w:rsidRPr="0060596E" w:rsidRDefault="008A5413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8A5413">
              <w:rPr>
                <w:rFonts w:asciiTheme="minorHAnsi" w:hAnsiTheme="minorHAnsi"/>
                <w:szCs w:val="22"/>
              </w:rPr>
              <w:t>2 ml</w:t>
            </w:r>
          </w:p>
        </w:tc>
      </w:tr>
      <w:tr w:rsidR="00BA2D6B" w:rsidRPr="00F23565" w14:paraId="48404142" w14:textId="77777777" w:rsidTr="008A5413">
        <w:trPr>
          <w:gridBefore w:val="1"/>
          <w:wBefore w:w="284" w:type="dxa"/>
        </w:trPr>
        <w:tc>
          <w:tcPr>
            <w:tcW w:w="2835" w:type="dxa"/>
          </w:tcPr>
          <w:p w14:paraId="41AC61E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0D33CA6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6E7DCAF" w14:textId="77777777" w:rsidR="00386207" w:rsidRDefault="008A5413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30710C0C" wp14:editId="7BE8009F">
                  <wp:extent cx="2139682" cy="35877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ST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915" cy="36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8A5413">
              <w:rPr>
                <w:rFonts w:asciiTheme="minorHAnsi" w:hAnsiTheme="minorHAnsi"/>
                <w:szCs w:val="22"/>
                <w:lang w:eastAsia="en-GB"/>
              </w:rPr>
              <w:t>Yellow top (SST) tube</w:t>
            </w:r>
          </w:p>
          <w:p w14:paraId="5809D933" w14:textId="77777777" w:rsidR="008A5413" w:rsidRDefault="008A5413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Or </w:t>
            </w: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0E6CD2EB" wp14:editId="7FE43E49">
                  <wp:extent cx="1123950" cy="31042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range_pae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1177449" cy="3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8A5413">
              <w:rPr>
                <w:rFonts w:asciiTheme="minorHAnsi" w:hAnsiTheme="minorHAnsi"/>
                <w:szCs w:val="22"/>
                <w:lang w:eastAsia="en-GB"/>
              </w:rPr>
              <w:t>paediatric orange top (lithium-heparin)</w:t>
            </w:r>
          </w:p>
          <w:p w14:paraId="30BF061A" w14:textId="77777777" w:rsidR="00A16E7E" w:rsidRDefault="00A16E7E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Plain serum samples may also be used.</w:t>
            </w:r>
          </w:p>
          <w:p w14:paraId="490E64DD" w14:textId="5AD822E1" w:rsidR="00060E03" w:rsidRPr="0060596E" w:rsidRDefault="00060E03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</w:p>
        </w:tc>
      </w:tr>
      <w:tr w:rsidR="00BA2D6B" w:rsidRPr="00F23565" w14:paraId="54A0E911" w14:textId="77777777" w:rsidTr="008A54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64146C0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7E81F7D9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B0E4AD3" w14:textId="77777777" w:rsidR="008A5413" w:rsidRPr="008A5413" w:rsidRDefault="008A5413" w:rsidP="008A5413">
            <w:pPr>
              <w:pStyle w:val="NoSpacing"/>
              <w:rPr>
                <w:lang w:eastAsia="en-GB"/>
              </w:rPr>
            </w:pPr>
            <w:r w:rsidRPr="008A5413">
              <w:rPr>
                <w:lang w:eastAsia="en-GB"/>
              </w:rPr>
              <w:t xml:space="preserve">Males: Less than </w:t>
            </w:r>
            <w:r w:rsidR="00915212">
              <w:rPr>
                <w:lang w:eastAsia="en-GB"/>
              </w:rPr>
              <w:t>5</w:t>
            </w:r>
            <w:r w:rsidRPr="008A5413">
              <w:rPr>
                <w:lang w:eastAsia="en-GB"/>
              </w:rPr>
              <w:t>0 IU/L</w:t>
            </w:r>
          </w:p>
          <w:p w14:paraId="4E595865" w14:textId="77777777" w:rsidR="00BA2D6B" w:rsidRPr="0060596E" w:rsidRDefault="00915212" w:rsidP="00915212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Females: Less than 35</w:t>
            </w:r>
            <w:r w:rsidR="008A5413" w:rsidRPr="008A5413">
              <w:rPr>
                <w:lang w:eastAsia="en-GB"/>
              </w:rPr>
              <w:t xml:space="preserve"> IU/L</w:t>
            </w:r>
          </w:p>
        </w:tc>
      </w:tr>
      <w:tr w:rsidR="00BA2D6B" w:rsidRPr="00F23565" w14:paraId="18FDF247" w14:textId="77777777" w:rsidTr="008A5413">
        <w:tc>
          <w:tcPr>
            <w:tcW w:w="3119" w:type="dxa"/>
            <w:gridSpan w:val="2"/>
          </w:tcPr>
          <w:p w14:paraId="3C1A0AD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4E1FAA6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2FD8533C" w14:textId="77777777" w:rsidR="00BA2D6B" w:rsidRPr="0060596E" w:rsidRDefault="008A5413" w:rsidP="008A5413">
            <w:pPr>
              <w:pStyle w:val="NoSpacing"/>
            </w:pPr>
            <w:r w:rsidRPr="008A5413">
              <w:t xml:space="preserve">Patients may have a falsely low AST if there </w:t>
            </w:r>
            <w:proofErr w:type="gramStart"/>
            <w:r w:rsidRPr="008A5413">
              <w:t>is</w:t>
            </w:r>
            <w:proofErr w:type="gramEnd"/>
            <w:r w:rsidRPr="008A5413">
              <w:t xml:space="preserve"> significant levels of sulfasalazine or </w:t>
            </w:r>
            <w:proofErr w:type="spellStart"/>
            <w:r w:rsidRPr="008A5413">
              <w:t>sulfapyridine</w:t>
            </w:r>
            <w:proofErr w:type="spellEnd"/>
            <w:r w:rsidRPr="008A5413">
              <w:t xml:space="preserve"> present in their blood. Therefore, in such patients, it is recommended that blood for AST is taken before next dose (trough level) when any interference will be minimised.</w:t>
            </w:r>
          </w:p>
        </w:tc>
      </w:tr>
      <w:tr w:rsidR="00BA2D6B" w:rsidRPr="00F23565" w14:paraId="53614658" w14:textId="77777777" w:rsidTr="008A54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61443A39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117A91E6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263BDB5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6159F6E3" w14:textId="77777777" w:rsidR="00BA2D6B" w:rsidRPr="0060596E" w:rsidRDefault="008A5413" w:rsidP="00EE61A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8A5413">
              <w:rPr>
                <w:rFonts w:asciiTheme="minorHAnsi" w:hAnsiTheme="minorHAnsi"/>
                <w:szCs w:val="22"/>
                <w:lang w:eastAsia="en-GB"/>
              </w:rPr>
              <w:t>Critical Difference 65%</w:t>
            </w:r>
          </w:p>
        </w:tc>
      </w:tr>
      <w:tr w:rsidR="00BA2D6B" w:rsidRPr="00F23565" w14:paraId="4AEAA7D3" w14:textId="77777777" w:rsidTr="008A5413">
        <w:tc>
          <w:tcPr>
            <w:tcW w:w="3119" w:type="dxa"/>
            <w:gridSpan w:val="2"/>
          </w:tcPr>
          <w:p w14:paraId="55D47CAD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53BFE97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046C544C" w14:textId="77777777" w:rsidR="00BA2D6B" w:rsidRPr="0060596E" w:rsidRDefault="00915212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Beckman method insert</w:t>
            </w:r>
          </w:p>
        </w:tc>
      </w:tr>
      <w:tr w:rsidR="00BA2D6B" w:rsidRPr="00F23565" w14:paraId="12D1CA64" w14:textId="77777777" w:rsidTr="008A54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73516AE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3AB3E090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1BAB581" w14:textId="77777777" w:rsidR="00BA2D6B" w:rsidRPr="0060596E" w:rsidRDefault="00743F4D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AST</w:t>
            </w:r>
            <w:r w:rsidR="00DC79BA">
              <w:rPr>
                <w:rFonts w:asciiTheme="minorHAnsi" w:hAnsiTheme="minorHAnsi"/>
                <w:szCs w:val="22"/>
              </w:rPr>
              <w:t>. PET (part of the pre-eclampsia profile)</w:t>
            </w:r>
          </w:p>
        </w:tc>
      </w:tr>
      <w:tr w:rsidR="00EE61A4" w:rsidRPr="00F23565" w14:paraId="3F2EA6FB" w14:textId="77777777" w:rsidTr="008A5413">
        <w:tc>
          <w:tcPr>
            <w:tcW w:w="3119" w:type="dxa"/>
            <w:gridSpan w:val="2"/>
            <w:shd w:val="clear" w:color="auto" w:fill="auto"/>
          </w:tcPr>
          <w:p w14:paraId="154E1E78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70F3A7A6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4E738523" w14:textId="77777777" w:rsidR="00EE61A4" w:rsidRDefault="008A5413" w:rsidP="00386207">
            <w:pPr>
              <w:pStyle w:val="NoSpacing"/>
              <w:rPr>
                <w:rFonts w:asciiTheme="minorHAnsi" w:hAnsiTheme="minorHAnsi"/>
                <w:szCs w:val="22"/>
              </w:rPr>
            </w:pPr>
            <w:r w:rsidRPr="008A5413">
              <w:rPr>
                <w:rFonts w:asciiTheme="minorHAnsi" w:hAnsiTheme="minorHAnsi"/>
                <w:szCs w:val="22"/>
              </w:rPr>
              <w:t xml:space="preserve">Analysed from </w:t>
            </w:r>
            <w:r w:rsidR="00915212">
              <w:rPr>
                <w:rFonts w:asciiTheme="minorHAnsi" w:hAnsiTheme="minorHAnsi"/>
                <w:szCs w:val="22"/>
              </w:rPr>
              <w:t xml:space="preserve">the </w:t>
            </w:r>
            <w:r w:rsidRPr="008A5413">
              <w:rPr>
                <w:rFonts w:asciiTheme="minorHAnsi" w:hAnsiTheme="minorHAnsi"/>
                <w:szCs w:val="22"/>
              </w:rPr>
              <w:t>primary tube and stored at 4°C</w:t>
            </w:r>
            <w:r>
              <w:rPr>
                <w:rFonts w:asciiTheme="minorHAnsi" w:hAnsiTheme="minorHAnsi"/>
                <w:szCs w:val="22"/>
              </w:rPr>
              <w:t>.</w:t>
            </w:r>
          </w:p>
          <w:p w14:paraId="40C7770B" w14:textId="77777777" w:rsidR="00A16E7E" w:rsidRPr="0060596E" w:rsidRDefault="00A16E7E" w:rsidP="00A16E7E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Serum and plasma stable at 2-8°C 28 days.</w:t>
            </w:r>
          </w:p>
        </w:tc>
      </w:tr>
    </w:tbl>
    <w:p w14:paraId="7BC8B7AF" w14:textId="77777777" w:rsidR="000319DA" w:rsidRDefault="000319DA" w:rsidP="00FD697F">
      <w:pPr>
        <w:spacing w:line="360" w:lineRule="auto"/>
      </w:pPr>
    </w:p>
    <w:p w14:paraId="5E3B9FDF" w14:textId="77777777" w:rsidR="00915212" w:rsidRPr="000319DA" w:rsidRDefault="00915212" w:rsidP="00FD697F">
      <w:pPr>
        <w:spacing w:line="360" w:lineRule="auto"/>
      </w:pPr>
    </w:p>
    <w:sectPr w:rsidR="00915212" w:rsidRPr="000319DA" w:rsidSect="000319DA">
      <w:headerReference w:type="default" r:id="rId10"/>
      <w:footerReference w:type="default" r:id="rId11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2D39" w14:textId="77777777" w:rsidR="007C42F4" w:rsidRDefault="007C42F4">
      <w:r>
        <w:separator/>
      </w:r>
    </w:p>
    <w:p w14:paraId="38B7AA5D" w14:textId="77777777" w:rsidR="007C42F4" w:rsidRDefault="007C42F4"/>
    <w:p w14:paraId="790F96A3" w14:textId="77777777" w:rsidR="007C42F4" w:rsidRDefault="007C42F4"/>
    <w:p w14:paraId="6612D7C9" w14:textId="77777777" w:rsidR="007C42F4" w:rsidRDefault="007C42F4"/>
    <w:p w14:paraId="7BED1B7F" w14:textId="77777777" w:rsidR="007C42F4" w:rsidRDefault="007C42F4"/>
    <w:p w14:paraId="5244E367" w14:textId="77777777" w:rsidR="007C42F4" w:rsidRDefault="007C42F4"/>
    <w:p w14:paraId="37D4C175" w14:textId="77777777" w:rsidR="007C42F4" w:rsidRDefault="007C42F4"/>
    <w:p w14:paraId="780E7393" w14:textId="77777777" w:rsidR="007C42F4" w:rsidRDefault="007C42F4"/>
    <w:p w14:paraId="5D74D8F1" w14:textId="77777777" w:rsidR="007C42F4" w:rsidRDefault="007C42F4"/>
  </w:endnote>
  <w:endnote w:type="continuationSeparator" w:id="0">
    <w:p w14:paraId="11B0285C" w14:textId="77777777" w:rsidR="007C42F4" w:rsidRDefault="007C42F4">
      <w:r>
        <w:continuationSeparator/>
      </w:r>
    </w:p>
    <w:p w14:paraId="2E090280" w14:textId="77777777" w:rsidR="007C42F4" w:rsidRDefault="007C42F4"/>
    <w:p w14:paraId="2AB1C15E" w14:textId="77777777" w:rsidR="007C42F4" w:rsidRDefault="007C42F4"/>
    <w:p w14:paraId="0053F6F6" w14:textId="77777777" w:rsidR="007C42F4" w:rsidRDefault="007C42F4"/>
    <w:p w14:paraId="3035FD9B" w14:textId="77777777" w:rsidR="007C42F4" w:rsidRDefault="007C42F4"/>
    <w:p w14:paraId="224EECAB" w14:textId="77777777" w:rsidR="007C42F4" w:rsidRDefault="007C42F4"/>
    <w:p w14:paraId="48DA1750" w14:textId="77777777" w:rsidR="007C42F4" w:rsidRDefault="007C42F4"/>
    <w:p w14:paraId="71BD44EE" w14:textId="77777777" w:rsidR="007C42F4" w:rsidRDefault="007C42F4"/>
    <w:p w14:paraId="050A5BBF" w14:textId="77777777" w:rsidR="007C42F4" w:rsidRDefault="007C4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C015" w14:textId="77777777" w:rsidR="00BA2D6B" w:rsidRPr="007825B1" w:rsidRDefault="00BA2D6B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61C3AEE8" w14:textId="2E05168F" w:rsidR="00BA2D6B" w:rsidRPr="00276E72" w:rsidRDefault="00D276A2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060E03">
      <w:rPr>
        <w:b/>
        <w:bCs/>
        <w:sz w:val="16"/>
      </w:rPr>
      <w:t>3</w:t>
    </w:r>
    <w:r w:rsidR="00915212">
      <w:rPr>
        <w:b/>
        <w:bCs/>
        <w:sz w:val="16"/>
      </w:rPr>
      <w:t xml:space="preserve"> / </w:t>
    </w:r>
    <w:r w:rsidR="00060E03">
      <w:rPr>
        <w:b/>
        <w:bCs/>
        <w:sz w:val="16"/>
      </w:rPr>
      <w:t>July</w:t>
    </w:r>
    <w:r w:rsidR="00FA6438">
      <w:rPr>
        <w:b/>
        <w:bCs/>
        <w:sz w:val="16"/>
      </w:rPr>
      <w:t xml:space="preserve"> 202</w:t>
    </w:r>
    <w:r w:rsidR="00060E03">
      <w:rPr>
        <w:b/>
        <w:bCs/>
        <w:sz w:val="16"/>
      </w:rPr>
      <w:t>3</w:t>
    </w:r>
    <w:r w:rsidR="00BA2D6B" w:rsidRPr="00276E72">
      <w:rPr>
        <w:b/>
        <w:bCs/>
        <w:sz w:val="16"/>
      </w:rPr>
      <w:ptab w:relativeTo="margin" w:alignment="center" w:leader="none"/>
    </w:r>
    <w:r w:rsidR="00BA2D6B" w:rsidRPr="00276E72">
      <w:rPr>
        <w:b/>
        <w:bCs/>
        <w:sz w:val="16"/>
      </w:rPr>
      <w:t xml:space="preserve">Approved by: </w:t>
    </w:r>
    <w:r w:rsidR="00B57EC7">
      <w:rPr>
        <w:b/>
        <w:bCs/>
        <w:sz w:val="16"/>
      </w:rPr>
      <w:t>Consultant Biochemist</w:t>
    </w:r>
    <w:r w:rsidR="00BA2D6B" w:rsidRPr="00276E72">
      <w:rPr>
        <w:b/>
        <w:bCs/>
        <w:sz w:val="16"/>
      </w:rPr>
      <w:tab/>
    </w:r>
    <w:r w:rsidR="00BA2D6B" w:rsidRPr="00276E72">
      <w:rPr>
        <w:b/>
        <w:bCs/>
        <w:sz w:val="16"/>
        <w:lang w:val="en-US"/>
      </w:rPr>
      <w:t xml:space="preserve">Page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PAGE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  <w:r w:rsidR="00BA2D6B" w:rsidRPr="00276E72">
      <w:rPr>
        <w:b/>
        <w:bCs/>
        <w:sz w:val="16"/>
        <w:lang w:val="en-US"/>
      </w:rPr>
      <w:t xml:space="preserve"> of </w:t>
    </w:r>
    <w:r w:rsidR="00BA2D6B" w:rsidRPr="00276E72">
      <w:rPr>
        <w:b/>
        <w:bCs/>
        <w:sz w:val="16"/>
        <w:lang w:val="en-US"/>
      </w:rPr>
      <w:fldChar w:fldCharType="begin"/>
    </w:r>
    <w:r w:rsidR="00BA2D6B" w:rsidRPr="00276E72">
      <w:rPr>
        <w:b/>
        <w:bCs/>
        <w:sz w:val="16"/>
        <w:lang w:val="en-US"/>
      </w:rPr>
      <w:instrText xml:space="preserve"> NUMPAGES </w:instrText>
    </w:r>
    <w:r w:rsidR="00BA2D6B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BA2D6B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3160" w14:textId="77777777" w:rsidR="007C42F4" w:rsidRDefault="007C42F4">
      <w:r>
        <w:separator/>
      </w:r>
    </w:p>
    <w:p w14:paraId="0D5D24FE" w14:textId="77777777" w:rsidR="007C42F4" w:rsidRDefault="007C42F4"/>
    <w:p w14:paraId="4960D414" w14:textId="77777777" w:rsidR="007C42F4" w:rsidRDefault="007C42F4"/>
    <w:p w14:paraId="22B4D8C3" w14:textId="77777777" w:rsidR="007C42F4" w:rsidRDefault="007C42F4"/>
    <w:p w14:paraId="0EEC6DFC" w14:textId="77777777" w:rsidR="007C42F4" w:rsidRDefault="007C42F4"/>
    <w:p w14:paraId="1F44186B" w14:textId="77777777" w:rsidR="007C42F4" w:rsidRDefault="007C42F4"/>
    <w:p w14:paraId="1269795F" w14:textId="77777777" w:rsidR="007C42F4" w:rsidRDefault="007C42F4"/>
    <w:p w14:paraId="7361E356" w14:textId="77777777" w:rsidR="007C42F4" w:rsidRDefault="007C42F4"/>
    <w:p w14:paraId="0D5B526E" w14:textId="77777777" w:rsidR="007C42F4" w:rsidRDefault="007C42F4"/>
  </w:footnote>
  <w:footnote w:type="continuationSeparator" w:id="0">
    <w:p w14:paraId="61F47814" w14:textId="77777777" w:rsidR="007C42F4" w:rsidRDefault="007C42F4">
      <w:r>
        <w:continuationSeparator/>
      </w:r>
    </w:p>
    <w:p w14:paraId="7AAF8A21" w14:textId="77777777" w:rsidR="007C42F4" w:rsidRDefault="007C42F4"/>
    <w:p w14:paraId="3B52FF49" w14:textId="77777777" w:rsidR="007C42F4" w:rsidRDefault="007C42F4"/>
    <w:p w14:paraId="7A18718D" w14:textId="77777777" w:rsidR="007C42F4" w:rsidRDefault="007C42F4"/>
    <w:p w14:paraId="16C92CDB" w14:textId="77777777" w:rsidR="007C42F4" w:rsidRDefault="007C42F4"/>
    <w:p w14:paraId="3ECA8023" w14:textId="77777777" w:rsidR="007C42F4" w:rsidRDefault="007C42F4"/>
    <w:p w14:paraId="79A2897D" w14:textId="77777777" w:rsidR="007C42F4" w:rsidRDefault="007C42F4"/>
    <w:p w14:paraId="6B818B40" w14:textId="77777777" w:rsidR="007C42F4" w:rsidRDefault="007C42F4"/>
    <w:p w14:paraId="63C8066A" w14:textId="77777777" w:rsidR="007C42F4" w:rsidRDefault="007C4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AF0E" w14:textId="09ABB091" w:rsidR="00BA2D6B" w:rsidRDefault="00BA2D6B">
    <w:pPr>
      <w:pStyle w:val="Header"/>
    </w:pPr>
  </w:p>
  <w:p w14:paraId="0CD68900" w14:textId="1AA16340" w:rsidR="00BA2D6B" w:rsidRDefault="00060E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DD189C" wp14:editId="2F90A136">
          <wp:simplePos x="0" y="0"/>
          <wp:positionH relativeFrom="column">
            <wp:posOffset>5502910</wp:posOffset>
          </wp:positionH>
          <wp:positionV relativeFrom="paragraph">
            <wp:posOffset>29845</wp:posOffset>
          </wp:positionV>
          <wp:extent cx="1014095" cy="3429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528178" w14:textId="77777777" w:rsidR="00BA2D6B" w:rsidRDefault="00BA2D6B">
    <w:pPr>
      <w:pStyle w:val="Header"/>
    </w:pPr>
  </w:p>
  <w:p w14:paraId="013DA27A" w14:textId="77777777" w:rsidR="00BA2D6B" w:rsidRDefault="00BA2D6B" w:rsidP="007825B1">
    <w:pPr>
      <w:pStyle w:val="Header"/>
      <w:jc w:val="right"/>
      <w:rPr>
        <w:sz w:val="14"/>
        <w:szCs w:val="14"/>
      </w:rPr>
    </w:pPr>
  </w:p>
  <w:p w14:paraId="348ED98B" w14:textId="77777777" w:rsidR="00BA2D6B" w:rsidRPr="00276E72" w:rsidRDefault="009D2FE9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499269">
    <w:abstractNumId w:val="3"/>
  </w:num>
  <w:num w:numId="2" w16cid:durableId="1104225063">
    <w:abstractNumId w:val="2"/>
  </w:num>
  <w:num w:numId="3" w16cid:durableId="1861504184">
    <w:abstractNumId w:val="1"/>
  </w:num>
  <w:num w:numId="4" w16cid:durableId="1720935864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2076538692">
    <w:abstractNumId w:val="4"/>
  </w:num>
  <w:num w:numId="6" w16cid:durableId="126707888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13"/>
    <w:rsid w:val="000179B3"/>
    <w:rsid w:val="00020BD4"/>
    <w:rsid w:val="000243C1"/>
    <w:rsid w:val="0002557F"/>
    <w:rsid w:val="000319DA"/>
    <w:rsid w:val="00031CF3"/>
    <w:rsid w:val="00051A93"/>
    <w:rsid w:val="00060E03"/>
    <w:rsid w:val="00093E60"/>
    <w:rsid w:val="000A0B79"/>
    <w:rsid w:val="000B0741"/>
    <w:rsid w:val="000B2B1F"/>
    <w:rsid w:val="000B6041"/>
    <w:rsid w:val="000D4ACB"/>
    <w:rsid w:val="00110081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200287"/>
    <w:rsid w:val="00213A85"/>
    <w:rsid w:val="002334DE"/>
    <w:rsid w:val="00233CC3"/>
    <w:rsid w:val="00241B5E"/>
    <w:rsid w:val="00250845"/>
    <w:rsid w:val="00276E72"/>
    <w:rsid w:val="00280D13"/>
    <w:rsid w:val="0029197D"/>
    <w:rsid w:val="002A52E6"/>
    <w:rsid w:val="002A74DA"/>
    <w:rsid w:val="002D4953"/>
    <w:rsid w:val="002F2660"/>
    <w:rsid w:val="0030270A"/>
    <w:rsid w:val="003036FA"/>
    <w:rsid w:val="0030417D"/>
    <w:rsid w:val="0033595A"/>
    <w:rsid w:val="003371FF"/>
    <w:rsid w:val="00363775"/>
    <w:rsid w:val="00367EB8"/>
    <w:rsid w:val="00370B73"/>
    <w:rsid w:val="00373ACB"/>
    <w:rsid w:val="003840AF"/>
    <w:rsid w:val="00386207"/>
    <w:rsid w:val="003A52BD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73B09"/>
    <w:rsid w:val="00475BA0"/>
    <w:rsid w:val="0048376D"/>
    <w:rsid w:val="0049210F"/>
    <w:rsid w:val="00494CC5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B46"/>
    <w:rsid w:val="006355A1"/>
    <w:rsid w:val="006526F9"/>
    <w:rsid w:val="00680B7A"/>
    <w:rsid w:val="006953C8"/>
    <w:rsid w:val="006A0229"/>
    <w:rsid w:val="006B1129"/>
    <w:rsid w:val="006C0968"/>
    <w:rsid w:val="006C27F8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2555"/>
    <w:rsid w:val="0073291F"/>
    <w:rsid w:val="00743F4D"/>
    <w:rsid w:val="00755A82"/>
    <w:rsid w:val="00757FB0"/>
    <w:rsid w:val="00761A5F"/>
    <w:rsid w:val="00765D50"/>
    <w:rsid w:val="007825B1"/>
    <w:rsid w:val="007C17F2"/>
    <w:rsid w:val="007C42F4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3B27"/>
    <w:rsid w:val="0087739A"/>
    <w:rsid w:val="008801A5"/>
    <w:rsid w:val="00886BFD"/>
    <w:rsid w:val="00891DBE"/>
    <w:rsid w:val="008A5413"/>
    <w:rsid w:val="008B5D0A"/>
    <w:rsid w:val="008C4CC6"/>
    <w:rsid w:val="008C6F9E"/>
    <w:rsid w:val="008E0A02"/>
    <w:rsid w:val="008E102A"/>
    <w:rsid w:val="008E4DE2"/>
    <w:rsid w:val="008F12AD"/>
    <w:rsid w:val="00914118"/>
    <w:rsid w:val="00915212"/>
    <w:rsid w:val="00922766"/>
    <w:rsid w:val="009255AD"/>
    <w:rsid w:val="00951DF8"/>
    <w:rsid w:val="00970680"/>
    <w:rsid w:val="0097149C"/>
    <w:rsid w:val="009A76AF"/>
    <w:rsid w:val="009B2D06"/>
    <w:rsid w:val="009B6924"/>
    <w:rsid w:val="009B6E23"/>
    <w:rsid w:val="009D2FE9"/>
    <w:rsid w:val="009D4893"/>
    <w:rsid w:val="009E1DFB"/>
    <w:rsid w:val="009F0B13"/>
    <w:rsid w:val="00A12E22"/>
    <w:rsid w:val="00A16E7E"/>
    <w:rsid w:val="00A22D4E"/>
    <w:rsid w:val="00A42096"/>
    <w:rsid w:val="00A50F38"/>
    <w:rsid w:val="00A6576B"/>
    <w:rsid w:val="00A70983"/>
    <w:rsid w:val="00A9048F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57EC7"/>
    <w:rsid w:val="00BA2D6B"/>
    <w:rsid w:val="00BC7AC6"/>
    <w:rsid w:val="00C07872"/>
    <w:rsid w:val="00C41AE9"/>
    <w:rsid w:val="00C42234"/>
    <w:rsid w:val="00C536BA"/>
    <w:rsid w:val="00C84BDB"/>
    <w:rsid w:val="00C93E4D"/>
    <w:rsid w:val="00CB3B8D"/>
    <w:rsid w:val="00CB5587"/>
    <w:rsid w:val="00CC4B0C"/>
    <w:rsid w:val="00CC5B75"/>
    <w:rsid w:val="00CD78D1"/>
    <w:rsid w:val="00CE5A2D"/>
    <w:rsid w:val="00D00EC6"/>
    <w:rsid w:val="00D02F0C"/>
    <w:rsid w:val="00D276A2"/>
    <w:rsid w:val="00D43011"/>
    <w:rsid w:val="00D620E0"/>
    <w:rsid w:val="00D80EDE"/>
    <w:rsid w:val="00D838B4"/>
    <w:rsid w:val="00D860B6"/>
    <w:rsid w:val="00D8686A"/>
    <w:rsid w:val="00D868D1"/>
    <w:rsid w:val="00DA5507"/>
    <w:rsid w:val="00DB7E33"/>
    <w:rsid w:val="00DC2055"/>
    <w:rsid w:val="00DC69BA"/>
    <w:rsid w:val="00DC79BA"/>
    <w:rsid w:val="00DC7DFF"/>
    <w:rsid w:val="00DD171F"/>
    <w:rsid w:val="00E00E41"/>
    <w:rsid w:val="00E05F0A"/>
    <w:rsid w:val="00E100D2"/>
    <w:rsid w:val="00E245D5"/>
    <w:rsid w:val="00E33E5B"/>
    <w:rsid w:val="00E33F9F"/>
    <w:rsid w:val="00E4466E"/>
    <w:rsid w:val="00E472D8"/>
    <w:rsid w:val="00E57FD2"/>
    <w:rsid w:val="00E769B4"/>
    <w:rsid w:val="00EB1F4D"/>
    <w:rsid w:val="00ED1271"/>
    <w:rsid w:val="00ED5B30"/>
    <w:rsid w:val="00EE00BE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A6438"/>
    <w:rsid w:val="00FB2652"/>
    <w:rsid w:val="00FB72A5"/>
    <w:rsid w:val="00FC3B47"/>
    <w:rsid w:val="00FD697F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F058D5"/>
  <w15:chartTrackingRefBased/>
  <w15:docId w15:val="{517B6343-72B7-414E-8403-C226531F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Governance%20and%20Quality\Pathology%20Handbook%20Changes\Pathology%20Handboo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Pathology Handbook Template</Template>
  <TotalTime>0</TotalTime>
  <Pages>1</Pages>
  <Words>195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</vt:lpstr>
    </vt:vector>
  </TitlesOfParts>
  <Company>Basildon &amp; Thurrock GHT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</dc:title>
  <dc:subject/>
  <dc:creator>Katherine Reade</dc:creator>
  <cp:keywords/>
  <cp:lastModifiedBy>Katie Stewart-Byrne</cp:lastModifiedBy>
  <cp:revision>2</cp:revision>
  <cp:lastPrinted>2013-05-21T17:03:00Z</cp:lastPrinted>
  <dcterms:created xsi:type="dcterms:W3CDTF">2024-07-18T15:19:00Z</dcterms:created>
  <dcterms:modified xsi:type="dcterms:W3CDTF">2024-07-18T15:19:00Z</dcterms:modified>
</cp:coreProperties>
</file>