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gif" ContentType="image/gif"/>
  <Override PartName="/word/media/image5.jpeg" ContentType="image/jpeg"/>
  <Override PartName="/word/media/image3.jpeg" ContentType="image/jpeg"/>
  <Override PartName="/word/media/image4.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Style w:val="TableGrid"/>
        <w:tblW w:w="10631"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83"/>
        <w:gridCol w:w="2836"/>
        <w:gridCol w:w="282"/>
        <w:gridCol w:w="7229"/>
      </w:tblGrid>
      <w:tr>
        <w:trPr>
          <w:trHeight w:val="725" w:hRule="atLeast"/>
        </w:trPr>
        <w:tc>
          <w:tcPr>
            <w:tcW w:w="10630" w:type="dxa"/>
            <w:gridSpan w:val="4"/>
            <w:tcBorders>
              <w:top w:val="nil"/>
              <w:left w:val="nil"/>
              <w:bottom w:val="nil"/>
              <w:right w:val="nil"/>
            </w:tcBorders>
          </w:tcPr>
          <w:p>
            <w:pPr>
              <w:pStyle w:val="Normal"/>
              <w:widowControl/>
              <w:spacing w:before="0" w:after="0"/>
              <w:jc w:val="left"/>
              <w:rPr>
                <w:b/>
                <w:b/>
                <w:sz w:val="36"/>
              </w:rPr>
            </w:pPr>
            <w:r>
              <w:rPr>
                <w:rFonts w:eastAsia="Times New Roman" w:cs="Times New Roman"/>
                <w:b/>
                <w:kern w:val="0"/>
                <w:sz w:val="36"/>
                <w:szCs w:val="36"/>
                <w:lang w:val="en-GB" w:bidi="ar-SA"/>
              </w:rPr>
              <w:t>Transferrin Saturation</w:t>
            </w:r>
            <w:r>
              <w:rPr>
                <w:rFonts w:eastAsia="Times New Roman" w:cs="Times New Roman"/>
                <w:b/>
                <w:kern w:val="0"/>
                <w:szCs w:val="20"/>
                <w:lang w:val="en-GB" w:bidi="ar-SA"/>
              </w:rPr>
              <w:t xml:space="preserve"> </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Synonyms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drawing>
                <wp:anchor behindDoc="0" distT="0" distB="0" distL="0" distR="0" simplePos="0" locked="0" layoutInCell="0" allowOverlap="1" relativeHeight="7">
                  <wp:simplePos x="0" y="0"/>
                  <wp:positionH relativeFrom="column">
                    <wp:posOffset>489585</wp:posOffset>
                  </wp:positionH>
                  <wp:positionV relativeFrom="paragraph">
                    <wp:posOffset>-1603375</wp:posOffset>
                  </wp:positionV>
                  <wp:extent cx="935990" cy="12547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35990" cy="1254760"/>
                          </a:xfrm>
                          <a:prstGeom prst="rect">
                            <a:avLst/>
                          </a:prstGeom>
                        </pic:spPr>
                      </pic:pic>
                    </a:graphicData>
                  </a:graphic>
                </wp:anchor>
              </w:drawing>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Clinical Indication</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Transferrin saturation is used as a screening test for haemochromatosis, a common (1 in 200-300 individuals), autosomal recessive disorder of iron absorption, with progressively increasing iron stores and organ damage. Not all patients with the genetic abnormality may be symptomatic, but they remain at risk. Raised levels should be confirmed by genotyping for HFE mutations.</w:t>
            </w:r>
          </w:p>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Transferrin saturation may also be helpful in screening patients with low MCV (less than 80) and raised CRP (acute phase reaction) for iron deficiency anaemia.</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Part of Profile / See Also</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Request Form</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Combined Pathology manual Blood form or ICE request</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Availability / Frequency of Analysis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On request.</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Turnaround Time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 xml:space="preserve">Same day </w:t>
            </w:r>
            <w:r>
              <w:rPr>
                <w:rFonts w:eastAsia="Times New Roman" w:cs="Times New Roman"/>
                <w:kern w:val="0"/>
                <w:szCs w:val="22"/>
                <w:lang w:val="en-GB" w:bidi="ar-SA"/>
              </w:rPr>
              <w:t>Monday to Friday</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Patient Preparation</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None required.</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Sample Requirements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Specimen Type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Serum</w:t>
            </w:r>
          </w:p>
        </w:tc>
      </w:tr>
      <w:tr>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Volume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0.5 mL</w:t>
            </w:r>
          </w:p>
        </w:tc>
      </w:tr>
      <w:tr>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Container</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tabs>
                <w:tab w:val="clear" w:pos="720"/>
                <w:tab w:val="left" w:pos="3705" w:leader="none"/>
              </w:tabs>
              <w:spacing w:lineRule="auto" w:line="240" w:before="100" w:after="100"/>
              <w:jc w:val="left"/>
              <w:rPr>
                <w:rFonts w:ascii="Calibri" w:hAnsi="Calibri" w:asciiTheme="minorHAnsi" w:hAnsiTheme="minorHAnsi"/>
                <w:szCs w:val="22"/>
                <w:lang w:eastAsia="en-GB"/>
              </w:rPr>
            </w:pPr>
            <w:r>
              <w:rPr>
                <w:rFonts w:eastAsia="Times New Roman" w:cs="Times New Roman"/>
                <w:kern w:val="0"/>
                <w:szCs w:val="20"/>
                <w:lang w:val="en-GB" w:bidi="ar-SA"/>
              </w:rPr>
              <w:drawing>
                <wp:inline distT="0" distB="0" distL="0" distR="0">
                  <wp:extent cx="2510155" cy="48577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510155" cy="485775"/>
                          </a:xfrm>
                          <a:prstGeom prst="rect">
                            <a:avLst/>
                          </a:prstGeom>
                        </pic:spPr>
                      </pic:pic>
                    </a:graphicData>
                  </a:graphic>
                </wp:inline>
              </w:drawing>
            </w:r>
            <w:r>
              <w:rPr>
                <w:rFonts w:eastAsia="Times New Roman" w:cs="Times New Roman"/>
                <w:kern w:val="0"/>
                <w:szCs w:val="22"/>
                <w:lang w:val="en-GB" w:eastAsia="en-GB" w:bidi="ar-SA"/>
              </w:rPr>
              <w:t xml:space="preserve"> </w:t>
            </w:r>
            <w:r>
              <w:rPr>
                <w:rFonts w:eastAsia="Times New Roman" w:cs="Times New Roman"/>
                <w:kern w:val="0"/>
                <w:szCs w:val="22"/>
                <w:lang w:val="en-GB" w:eastAsia="en-GB" w:bidi="ar-SA"/>
              </w:rPr>
              <w:t>Yellow top (SST) tube</w:t>
            </w:r>
          </w:p>
          <w:p>
            <w:pPr>
              <w:pStyle w:val="Normal"/>
              <w:widowControl/>
              <w:tabs>
                <w:tab w:val="clear" w:pos="720"/>
                <w:tab w:val="center" w:pos="3506" w:leader="none"/>
              </w:tabs>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Or </w:t>
            </w:r>
            <w:r>
              <w:rPr>
                <w:rFonts w:eastAsia="Times New Roman" w:cs="Times New Roman"/>
                <w:kern w:val="0"/>
                <w:szCs w:val="20"/>
                <w:lang w:val="en-GB" w:bidi="ar-SA"/>
              </w:rPr>
              <w:drawing>
                <wp:inline distT="0" distB="0" distL="0" distR="0">
                  <wp:extent cx="1495425" cy="51562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4"/>
                          <a:stretch>
                            <a:fillRect/>
                          </a:stretch>
                        </pic:blipFill>
                        <pic:spPr bwMode="auto">
                          <a:xfrm>
                            <a:off x="0" y="0"/>
                            <a:ext cx="1495425" cy="515620"/>
                          </a:xfrm>
                          <a:prstGeom prst="rect">
                            <a:avLst/>
                          </a:prstGeom>
                        </pic:spPr>
                      </pic:pic>
                    </a:graphicData>
                  </a:graphic>
                </wp:inline>
              </w:drawing>
            </w:r>
            <w:r>
              <w:rPr>
                <w:rFonts w:eastAsia="Times New Roman" w:cs="Times New Roman"/>
                <w:kern w:val="0"/>
                <w:szCs w:val="22"/>
                <w:lang w:val="en-GB" w:eastAsia="en-GB" w:bidi="ar-SA"/>
              </w:rPr>
              <w:t xml:space="preserve"> Paediatric green (lithium-heparin) tube</w:t>
            </w:r>
          </w:p>
          <w:p>
            <w:pPr>
              <w:pStyle w:val="Normal"/>
              <w:widowControl/>
              <w:tabs>
                <w:tab w:val="clear" w:pos="720"/>
                <w:tab w:val="center" w:pos="3506" w:leader="none"/>
              </w:tabs>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Or </w:t>
            </w:r>
            <w:r>
              <w:rPr>
                <w:rFonts w:eastAsia="Times New Roman" w:cs="Times New Roman"/>
                <w:kern w:val="0"/>
                <w:szCs w:val="20"/>
                <w:lang w:val="en-GB" w:bidi="ar-SA"/>
              </w:rPr>
              <w:drawing>
                <wp:inline distT="0" distB="0" distL="0" distR="0">
                  <wp:extent cx="1238250" cy="342900"/>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5"/>
                          <a:stretch>
                            <a:fillRect/>
                          </a:stretch>
                        </pic:blipFill>
                        <pic:spPr bwMode="auto">
                          <a:xfrm>
                            <a:off x="0" y="0"/>
                            <a:ext cx="1238250" cy="342900"/>
                          </a:xfrm>
                          <a:prstGeom prst="rect">
                            <a:avLst/>
                          </a:prstGeom>
                        </pic:spPr>
                      </pic:pic>
                    </a:graphicData>
                  </a:graphic>
                </wp:inline>
              </w:drawing>
            </w:r>
            <w:r>
              <w:rPr>
                <w:rFonts w:eastAsia="Times New Roman" w:cs="Times New Roman"/>
                <w:kern w:val="0"/>
                <w:szCs w:val="22"/>
                <w:lang w:val="en-GB" w:eastAsia="en-GB" w:bidi="ar-SA"/>
              </w:rPr>
              <w:t xml:space="preserve"> Paediatric orange (lithium heparin) tube</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Reference Range &amp; Units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tbl>
            <w:tblPr>
              <w:tblStyle w:val="TableGrid"/>
              <w:tblW w:w="31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47"/>
              <w:gridCol w:w="1700"/>
            </w:tblGrid>
            <w:tr>
              <w:trPr/>
              <w:tc>
                <w:tcPr>
                  <w:tcW w:w="3147" w:type="dxa"/>
                  <w:gridSpan w:val="2"/>
                  <w:tcBorders/>
                  <w:shd w:color="auto" w:fill="BFBFBF" w:themeFill="background1" w:themeFillShade="bf" w:val="clear"/>
                </w:tcPr>
                <w:p>
                  <w:pPr>
                    <w:pStyle w:val="NoSpacing"/>
                    <w:widowControl/>
                    <w:spacing w:before="0" w:after="0"/>
                    <w:jc w:val="center"/>
                    <w:rPr>
                      <w:b/>
                      <w:b/>
                      <w:lang w:eastAsia="en-GB"/>
                    </w:rPr>
                  </w:pPr>
                  <w:r>
                    <w:rPr>
                      <w:rFonts w:eastAsia="Times New Roman" w:cs="Times New Roman"/>
                      <w:b/>
                      <w:kern w:val="0"/>
                      <w:szCs w:val="20"/>
                      <w:lang w:val="en-GB" w:eastAsia="en-GB" w:bidi="ar-SA"/>
                    </w:rPr>
                    <w:t>TRANSFERRIN SATURATION</w:t>
                  </w:r>
                </w:p>
              </w:tc>
            </w:tr>
            <w:tr>
              <w:trPr/>
              <w:tc>
                <w:tcPr>
                  <w:tcW w:w="1447" w:type="dxa"/>
                  <w:tcBorders/>
                  <w:shd w:color="auto" w:fill="BFBFBF" w:themeFill="background1" w:themeFillShade="bf" w:val="clear"/>
                </w:tcPr>
                <w:p>
                  <w:pPr>
                    <w:pStyle w:val="NoSpacing"/>
                    <w:widowControl/>
                    <w:spacing w:before="0" w:after="0"/>
                    <w:jc w:val="left"/>
                    <w:rPr>
                      <w:b/>
                      <w:b/>
                      <w:lang w:eastAsia="en-GB"/>
                    </w:rPr>
                  </w:pPr>
                  <w:r>
                    <w:rPr>
                      <w:rFonts w:eastAsia="Times New Roman" w:cs="Times New Roman"/>
                      <w:b/>
                      <w:kern w:val="0"/>
                      <w:szCs w:val="20"/>
                      <w:lang w:val="en-GB" w:eastAsia="en-GB" w:bidi="ar-SA"/>
                    </w:rPr>
                    <w:t>Sex</w:t>
                  </w:r>
                </w:p>
              </w:tc>
              <w:tc>
                <w:tcPr>
                  <w:tcW w:w="1700" w:type="dxa"/>
                  <w:tcBorders/>
                  <w:shd w:color="auto" w:fill="BFBFBF" w:themeFill="background1" w:themeFillShade="bf" w:val="clear"/>
                </w:tcPr>
                <w:p>
                  <w:pPr>
                    <w:pStyle w:val="NoSpacing"/>
                    <w:widowControl/>
                    <w:spacing w:before="0" w:after="0"/>
                    <w:jc w:val="left"/>
                    <w:rPr>
                      <w:b/>
                      <w:b/>
                      <w:lang w:eastAsia="en-GB"/>
                    </w:rPr>
                  </w:pPr>
                  <w:r>
                    <w:rPr>
                      <w:rFonts w:eastAsia="Times New Roman" w:cs="Times New Roman"/>
                      <w:b/>
                      <w:kern w:val="0"/>
                      <w:szCs w:val="20"/>
                      <w:lang w:val="en-GB" w:eastAsia="en-GB" w:bidi="ar-SA"/>
                    </w:rPr>
                    <w:t>Range (%)</w:t>
                  </w:r>
                </w:p>
              </w:tc>
            </w:tr>
            <w:tr>
              <w:trPr/>
              <w:tc>
                <w:tcPr>
                  <w:tcW w:w="1447" w:type="dxa"/>
                  <w:tcBorders/>
                </w:tcPr>
                <w:p>
                  <w:pPr>
                    <w:pStyle w:val="NoSpacing"/>
                    <w:widowControl/>
                    <w:spacing w:before="0" w:after="0"/>
                    <w:jc w:val="left"/>
                    <w:rPr>
                      <w:lang w:eastAsia="en-GB"/>
                    </w:rPr>
                  </w:pPr>
                  <w:r>
                    <w:rPr>
                      <w:rFonts w:eastAsia="Times New Roman" w:cs="Times New Roman"/>
                      <w:kern w:val="0"/>
                      <w:szCs w:val="20"/>
                      <w:lang w:val="en-GB" w:eastAsia="en-GB" w:bidi="ar-SA"/>
                    </w:rPr>
                    <w:t>Female</w:t>
                  </w:r>
                </w:p>
              </w:tc>
              <w:tc>
                <w:tcPr>
                  <w:tcW w:w="1700" w:type="dxa"/>
                  <w:tcBorders/>
                </w:tcPr>
                <w:p>
                  <w:pPr>
                    <w:pStyle w:val="NoSpacing"/>
                    <w:widowControl/>
                    <w:spacing w:before="0" w:after="0"/>
                    <w:jc w:val="left"/>
                    <w:rPr>
                      <w:lang w:eastAsia="en-GB"/>
                    </w:rPr>
                  </w:pPr>
                  <w:r>
                    <w:rPr>
                      <w:rFonts w:eastAsia="Times New Roman" w:cs="Times New Roman"/>
                      <w:kern w:val="0"/>
                      <w:szCs w:val="20"/>
                      <w:lang w:val="en-GB" w:eastAsia="en-GB" w:bidi="ar-SA"/>
                    </w:rPr>
                    <w:t>15 – 45</w:t>
                  </w:r>
                </w:p>
              </w:tc>
            </w:tr>
            <w:tr>
              <w:trPr/>
              <w:tc>
                <w:tcPr>
                  <w:tcW w:w="1447" w:type="dxa"/>
                  <w:tcBorders/>
                </w:tcPr>
                <w:p>
                  <w:pPr>
                    <w:pStyle w:val="NoSpacing"/>
                    <w:widowControl/>
                    <w:spacing w:before="0" w:after="0"/>
                    <w:jc w:val="left"/>
                    <w:rPr>
                      <w:lang w:eastAsia="en-GB"/>
                    </w:rPr>
                  </w:pPr>
                  <w:r>
                    <w:rPr>
                      <w:rFonts w:eastAsia="Times New Roman" w:cs="Times New Roman"/>
                      <w:kern w:val="0"/>
                      <w:szCs w:val="20"/>
                      <w:lang w:val="en-GB" w:eastAsia="en-GB" w:bidi="ar-SA"/>
                    </w:rPr>
                    <w:t>Male</w:t>
                  </w:r>
                </w:p>
              </w:tc>
              <w:tc>
                <w:tcPr>
                  <w:tcW w:w="1700" w:type="dxa"/>
                  <w:tcBorders/>
                </w:tcPr>
                <w:p>
                  <w:pPr>
                    <w:pStyle w:val="NoSpacing"/>
                    <w:widowControl/>
                    <w:spacing w:before="0" w:after="0"/>
                    <w:jc w:val="left"/>
                    <w:rPr>
                      <w:lang w:eastAsia="en-GB"/>
                    </w:rPr>
                  </w:pPr>
                  <w:r>
                    <w:rPr>
                      <w:rFonts w:eastAsia="Times New Roman" w:cs="Times New Roman"/>
                      <w:kern w:val="0"/>
                      <w:szCs w:val="20"/>
                      <w:lang w:val="en-GB" w:eastAsia="en-GB" w:bidi="ar-SA"/>
                    </w:rPr>
                    <w:t>15 – 50</w:t>
                  </w:r>
                </w:p>
              </w:tc>
            </w:tr>
          </w:tbl>
          <w:p>
            <w:pPr>
              <w:pStyle w:val="Normal"/>
              <w:widowControl w:val="false"/>
              <w:spacing w:lineRule="auto" w:line="240" w:before="100" w:after="100"/>
              <w:rPr>
                <w:rFonts w:ascii="Calibri" w:hAnsi="Calibri" w:asciiTheme="minorHAnsi" w:hAnsiTheme="minorHAnsi"/>
                <w:sz w:val="18"/>
                <w:szCs w:val="22"/>
                <w:lang w:eastAsia="en-GB"/>
              </w:rPr>
            </w:pPr>
            <w:r>
              <w:rPr>
                <w:rFonts w:asciiTheme="minorHAnsi" w:hAnsiTheme="minorHAnsi"/>
                <w:sz w:val="18"/>
                <w:szCs w:val="22"/>
                <w:lang w:eastAsia="en-GB"/>
              </w:rPr>
              <w:t>BSCH Guidelines Genetic Haemochromatosis 2000/EASL Clinical Practice Guidelines for HFE Haemochromatosis.J Hepatol (2010)</w:t>
            </w:r>
          </w:p>
          <w:p>
            <w:pPr>
              <w:pStyle w:val="Normal"/>
              <w:widowControl w:val="false"/>
              <w:spacing w:lineRule="auto" w:line="240" w:before="100" w:after="100"/>
              <w:rPr>
                <w:rFonts w:ascii="Calibri" w:hAnsi="Calibri" w:asciiTheme="minorHAnsi" w:hAnsiTheme="minorHAnsi"/>
                <w:szCs w:val="22"/>
                <w:lang w:eastAsia="en-GB"/>
              </w:rPr>
            </w:pPr>
            <w:r>
              <w:rPr>
                <w:rFonts w:asciiTheme="minorHAnsi" w:hAnsiTheme="minorHAnsi"/>
                <w:szCs w:val="22"/>
                <w:lang w:eastAsia="en-GB"/>
              </w:rPr>
              <w:t>Transferrin saturation of less than 15% reflects iron deficiency and saturation greater than 60% suggests iron overload.</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Interferences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 xml:space="preserve">Interpretation &amp; Clinical </w:t>
            </w:r>
          </w:p>
          <w:p>
            <w:pPr>
              <w:pStyle w:val="Normal"/>
              <w:widowControl/>
              <w:spacing w:lineRule="auto" w:line="360" w:before="0" w:after="0"/>
              <w:jc w:val="left"/>
              <w:rPr>
                <w:b/>
                <w:b/>
                <w:sz w:val="24"/>
              </w:rPr>
            </w:pPr>
            <w:r>
              <w:rPr>
                <w:rFonts w:eastAsia="Times New Roman" w:cs="Times New Roman"/>
                <w:b/>
                <w:kern w:val="0"/>
                <w:sz w:val="24"/>
                <w:szCs w:val="20"/>
                <w:lang w:val="en-GB" w:bidi="ar-SA"/>
              </w:rPr>
              <w:t>Decision Value (if applicable)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A persistent transferrin saturation &gt;50% in the absence of other potential causes of iron overload is suggestive of hereditary haemochromatosis. </w:t>
            </w:r>
          </w:p>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Transferrin saturation results are reviewed in clinical authorisation and HFE genotyping may be added by the duty Biochemist if appropriate</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References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Spacing"/>
              <w:widowControl/>
              <w:spacing w:before="0" w:after="0"/>
              <w:jc w:val="left"/>
              <w:rPr>
                <w:rFonts w:eastAsia="Times New Roman" w:cs="Times New Roman"/>
                <w:kern w:val="0"/>
                <w:szCs w:val="20"/>
                <w:lang w:val="en-GB" w:bidi="ar-SA"/>
              </w:rPr>
            </w:pPr>
            <w:r>
              <w:rPr>
                <w:rFonts w:eastAsia="Times New Roman" w:cs="Times New Roman"/>
                <w:kern w:val="0"/>
                <w:szCs w:val="20"/>
                <w:lang w:val="en-GB" w:bidi="ar-SA"/>
              </w:rPr>
              <w:t>Sherwood RA, Pippard MJ, Peters TJ. Iron homeostasis and the assessment of iron status. Ann Clin Biochem 1998; 35: 693-708</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Test code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shd w:color="auto" w:fill="auto"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Lab Handling</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auto" w:val="clear"/>
          </w:tcPr>
          <w:p>
            <w:pPr>
              <w:pStyle w:val="NoSpacing"/>
              <w:widowControl/>
              <w:spacing w:before="0" w:after="0"/>
              <w:jc w:val="left"/>
              <w:rPr>
                <w:rFonts w:ascii="Calibri" w:hAnsi="Calibri" w:asciiTheme="minorHAnsi" w:hAnsiTheme="minorHAnsi"/>
                <w:szCs w:val="22"/>
              </w:rPr>
            </w:pPr>
            <w:r>
              <w:rPr>
                <w:rFonts w:eastAsia="Times New Roman" w:cs="Times New Roman"/>
                <w:kern w:val="0"/>
                <w:szCs w:val="22"/>
                <w:lang w:val="en-GB" w:bidi="ar-SA"/>
              </w:rPr>
              <w:t>Analysed from primary tube and stored at 4°C</w:t>
            </w:r>
          </w:p>
        </w:tc>
      </w:tr>
    </w:tbl>
    <w:p>
      <w:pPr>
        <w:pStyle w:val="Normal"/>
        <w:spacing w:lineRule="auto" w:line="360"/>
        <w:rPr/>
      </w:pPr>
      <w:r>
        <w:rPr/>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754" w:right="856" w:gutter="0" w:header="284" w:top="1560" w:footer="299"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auto"/>
    <w:pitch w:val="default"/>
  </w:font>
  <w:font w:name="Calibri">
    <w:charset w:val="01"/>
    <w:family w:val="auto"/>
    <w:pitch w:val="default"/>
  </w:font>
  <w:font w:name="Arial">
    <w:charset w:val="01"/>
    <w:family w:val="auto"/>
    <w:pitch w:val="default"/>
  </w:font>
  <w:font w:name="Calibri Light (Heading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2"/>
        <w:szCs w:val="10"/>
      </w:rPr>
    </w:pPr>
    <w:r>
      <w:rPr>
        <w:b/>
        <w:bCs/>
        <w:sz w:val="2"/>
        <w:szCs w:val="10"/>
      </w:rPr>
    </w:r>
  </w:p>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16"/>
        <w:lang w:val="en-US"/>
      </w:rPr>
    </w:pPr>
    <w:r>
      <w:rPr>
        <w:b/>
        <w:bCs/>
        <w:sz w:val="16"/>
      </w:rPr>
      <w:t>Version 1.</w:t>
    </w:r>
    <w:r>
      <w:rPr>
        <w:b/>
        <w:bCs/>
        <w:sz w:val="16"/>
      </w:rPr>
      <w:t>4</w:t>
    </w:r>
    <w:r>
      <w:rPr>
        <w:b/>
        <w:bCs/>
        <w:sz w:val="16"/>
      </w:rPr>
      <w:t xml:space="preserve"> / </w:t>
    </w:r>
    <w:r>
      <w:rPr>
        <w:b/>
        <w:bCs/>
        <w:sz w:val="16"/>
      </w:rPr>
      <w:t>December</w:t>
    </w:r>
    <w:r>
      <w:rPr>
        <w:b/>
        <w:bCs/>
        <w:sz w:val="16"/>
      </w:rPr>
      <w:t xml:space="preserve"> 202</w:t>
    </w:r>
    <w:r>
      <w:rPr>
        <w:b/>
        <w:bCs/>
        <w:sz w:val="16"/>
      </w:rPr>
      <w:t>4</w:t>
    </w:r>
    <w:r>
      <w:rPr>
        <w:b/>
        <w:bCs/>
        <w:sz w:val="16"/>
      </w:rPr>
      <w:tab/>
      <w:t>Approved by: Consultant Biochemist</w:t>
      <w:tab/>
    </w:r>
    <w:r>
      <w:rPr>
        <w:b/>
        <w:bCs/>
        <w:sz w:val="16"/>
        <w:lang w:val="en-US"/>
      </w:rPr>
      <w:t xml:space="preserve">Page </w:t>
    </w:r>
    <w:r>
      <w:rPr>
        <w:b/>
        <w:bCs/>
        <w:sz w:val="16"/>
        <w:lang w:val="en-US"/>
      </w:rPr>
      <w:fldChar w:fldCharType="begin"/>
    </w:r>
    <w:r>
      <w:rPr>
        <w:sz w:val="16"/>
        <w:b/>
        <w:bCs/>
        <w:lang w:val="en-US"/>
      </w:rPr>
      <w:instrText xml:space="preserve"> PAGE </w:instrText>
    </w:r>
    <w:r>
      <w:rPr>
        <w:sz w:val="16"/>
        <w:b/>
        <w:bCs/>
        <w:lang w:val="en-US"/>
      </w:rPr>
      <w:fldChar w:fldCharType="separate"/>
    </w:r>
    <w:r>
      <w:rPr>
        <w:sz w:val="16"/>
        <w:b/>
        <w:bCs/>
        <w:lang w:val="en-US"/>
      </w:rPr>
      <w:t>1</w:t>
    </w:r>
    <w:r>
      <w:rPr>
        <w:sz w:val="16"/>
        <w:b/>
        <w:bCs/>
        <w:lang w:val="en-US"/>
      </w:rPr>
      <w:fldChar w:fldCharType="end"/>
    </w:r>
    <w:r>
      <w:rPr>
        <w:b/>
        <w:bCs/>
        <w:sz w:val="16"/>
        <w:lang w:val="en-US"/>
      </w:rPr>
      <w:t xml:space="preserve"> of </w:t>
    </w:r>
    <w:r>
      <w:rPr>
        <w:b/>
        <w:bCs/>
        <w:sz w:val="16"/>
        <w:lang w:val="en-US"/>
      </w:rPr>
      <w:fldChar w:fldCharType="begin"/>
    </w:r>
    <w:r>
      <w:rPr>
        <w:sz w:val="16"/>
        <w:b/>
        <w:bCs/>
        <w:lang w:val="en-US"/>
      </w:rPr>
      <w:instrText xml:space="preserve"> NUMPAGES </w:instrText>
    </w:r>
    <w:r>
      <w:rPr>
        <w:sz w:val="16"/>
        <w:b/>
        <w:bCs/>
        <w:lang w:val="en-US"/>
      </w:rPr>
      <w:fldChar w:fldCharType="separate"/>
    </w:r>
    <w:r>
      <w:rPr>
        <w:sz w:val="16"/>
        <w:b/>
        <w:bCs/>
        <w:lang w:val="en-US"/>
      </w:rPr>
      <w:t>2</w:t>
    </w:r>
    <w:r>
      <w:rPr>
        <w:sz w:val="16"/>
        <w:b/>
        <w:bCs/>
        <w:lang w:val="en-U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2"/>
        <w:szCs w:val="10"/>
      </w:rPr>
    </w:pPr>
    <w:r>
      <w:rPr>
        <w:b/>
        <w:bCs/>
        <w:sz w:val="2"/>
        <w:szCs w:val="10"/>
      </w:rPr>
    </w:r>
  </w:p>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16"/>
        <w:lang w:val="en-US"/>
      </w:rPr>
    </w:pPr>
    <w:r>
      <w:rPr>
        <w:b/>
        <w:bCs/>
        <w:sz w:val="16"/>
      </w:rPr>
      <w:t>Version 1.</w:t>
    </w:r>
    <w:r>
      <w:rPr>
        <w:b/>
        <w:bCs/>
        <w:sz w:val="16"/>
      </w:rPr>
      <w:t>4</w:t>
    </w:r>
    <w:r>
      <w:rPr>
        <w:b/>
        <w:bCs/>
        <w:sz w:val="16"/>
      </w:rPr>
      <w:t xml:space="preserve"> / </w:t>
    </w:r>
    <w:r>
      <w:rPr>
        <w:b/>
        <w:bCs/>
        <w:sz w:val="16"/>
      </w:rPr>
      <w:t>December</w:t>
    </w:r>
    <w:r>
      <w:rPr>
        <w:b/>
        <w:bCs/>
        <w:sz w:val="16"/>
      </w:rPr>
      <w:t xml:space="preserve"> 202</w:t>
    </w:r>
    <w:r>
      <w:rPr>
        <w:b/>
        <w:bCs/>
        <w:sz w:val="16"/>
      </w:rPr>
      <w:t>4</w:t>
    </w:r>
    <w:r>
      <w:rPr>
        <w:b/>
        <w:bCs/>
        <w:sz w:val="16"/>
      </w:rPr>
      <w:tab/>
      <w:t>Approved by: Consultant Biochemist</w:t>
      <w:tab/>
    </w:r>
    <w:r>
      <w:rPr>
        <w:b/>
        <w:bCs/>
        <w:sz w:val="16"/>
        <w:lang w:val="en-US"/>
      </w:rPr>
      <w:t xml:space="preserve">Page </w:t>
    </w:r>
    <w:r>
      <w:rPr>
        <w:b/>
        <w:bCs/>
        <w:sz w:val="16"/>
        <w:lang w:val="en-US"/>
      </w:rPr>
      <w:fldChar w:fldCharType="begin"/>
    </w:r>
    <w:r>
      <w:rPr>
        <w:sz w:val="16"/>
        <w:b/>
        <w:bCs/>
        <w:lang w:val="en-US"/>
      </w:rPr>
      <w:instrText xml:space="preserve"> PAGE </w:instrText>
    </w:r>
    <w:r>
      <w:rPr>
        <w:sz w:val="16"/>
        <w:b/>
        <w:bCs/>
        <w:lang w:val="en-US"/>
      </w:rPr>
      <w:fldChar w:fldCharType="separate"/>
    </w:r>
    <w:r>
      <w:rPr>
        <w:sz w:val="16"/>
        <w:b/>
        <w:bCs/>
        <w:lang w:val="en-US"/>
      </w:rPr>
      <w:t>1</w:t>
    </w:r>
    <w:r>
      <w:rPr>
        <w:sz w:val="16"/>
        <w:b/>
        <w:bCs/>
        <w:lang w:val="en-US"/>
      </w:rPr>
      <w:fldChar w:fldCharType="end"/>
    </w:r>
    <w:r>
      <w:rPr>
        <w:b/>
        <w:bCs/>
        <w:sz w:val="16"/>
        <w:lang w:val="en-US"/>
      </w:rPr>
      <w:t xml:space="preserve"> of </w:t>
    </w:r>
    <w:r>
      <w:rPr>
        <w:b/>
        <w:bCs/>
        <w:sz w:val="16"/>
        <w:lang w:val="en-US"/>
      </w:rPr>
      <w:fldChar w:fldCharType="begin"/>
    </w:r>
    <w:r>
      <w:rPr>
        <w:sz w:val="16"/>
        <w:b/>
        <w:bCs/>
        <w:lang w:val="en-US"/>
      </w:rPr>
      <w:instrText xml:space="preserve"> NUMPAGES </w:instrText>
    </w:r>
    <w:r>
      <w:rPr>
        <w:sz w:val="16"/>
        <w:b/>
        <w:bCs/>
        <w:lang w:val="en-US"/>
      </w:rPr>
      <w:fldChar w:fldCharType="separate"/>
    </w:r>
    <w:r>
      <w:rPr>
        <w:sz w:val="16"/>
        <w:b/>
        <w:bCs/>
        <w:lang w:val="en-US"/>
      </w:rPr>
      <w:t>2</w:t>
    </w:r>
    <w:r>
      <w:rPr>
        <w:sz w:val="16"/>
        <w:b/>
        <w:bCs/>
        <w:lang w:val="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6">
          <wp:simplePos x="0" y="0"/>
          <wp:positionH relativeFrom="margin">
            <wp:posOffset>5036185</wp:posOffset>
          </wp:positionH>
          <wp:positionV relativeFrom="paragraph">
            <wp:posOffset>2540</wp:posOffset>
          </wp:positionV>
          <wp:extent cx="1449070" cy="486410"/>
          <wp:effectExtent l="0" t="0" r="0" b="0"/>
          <wp:wrapNone/>
          <wp:docPr id="5"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
                  <pic:cNvPicPr>
                    <a:picLocks noChangeAspect="1" noChangeArrowheads="1"/>
                  </pic:cNvPicPr>
                </pic:nvPicPr>
                <pic:blipFill>
                  <a:blip r:embed="rId1"/>
                  <a:stretch>
                    <a:fillRect/>
                  </a:stretch>
                </pic:blipFill>
                <pic:spPr bwMode="auto">
                  <a:xfrm>
                    <a:off x="0" y="0"/>
                    <a:ext cx="1449070" cy="486410"/>
                  </a:xfrm>
                  <a:prstGeom prst="rect">
                    <a:avLst/>
                  </a:prstGeom>
                </pic:spPr>
              </pic:pic>
            </a:graphicData>
          </a:graphic>
        </wp:anchor>
      </w:drawing>
    </w:r>
  </w:p>
  <w:p>
    <w:pPr>
      <w:pStyle w:val="Header"/>
      <w:rPr/>
    </w:pPr>
    <w:r>
      <w:rPr/>
    </w:r>
  </w:p>
  <w:p>
    <w:pPr>
      <w:pStyle w:val="Header"/>
      <w:rPr/>
    </w:pPr>
    <w:r>
      <w:rPr/>
    </w:r>
  </w:p>
  <w:p>
    <w:pPr>
      <w:pStyle w:val="Header"/>
      <w:jc w:val="right"/>
      <w:rPr>
        <w:sz w:val="14"/>
        <w:szCs w:val="14"/>
      </w:rPr>
    </w:pPr>
    <w:r>
      <w:rPr>
        <w:sz w:val="14"/>
        <w:szCs w:val="14"/>
      </w:rPr>
    </w:r>
  </w:p>
  <w:p>
    <w:pPr>
      <w:pStyle w:val="Header"/>
      <w:jc w:val="right"/>
      <w:rPr>
        <w:b/>
        <w:b/>
        <w:sz w:val="16"/>
        <w:szCs w:val="14"/>
      </w:rPr>
    </w:pPr>
    <w:r>
      <w:rPr>
        <w:b/>
        <w:sz w:val="16"/>
        <w:szCs w:val="14"/>
      </w:rPr>
      <w:t>PF-PTD-294</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6">
          <wp:simplePos x="0" y="0"/>
          <wp:positionH relativeFrom="margin">
            <wp:posOffset>5036185</wp:posOffset>
          </wp:positionH>
          <wp:positionV relativeFrom="paragraph">
            <wp:posOffset>2540</wp:posOffset>
          </wp:positionV>
          <wp:extent cx="1449070" cy="486410"/>
          <wp:effectExtent l="0" t="0" r="0" b="0"/>
          <wp:wrapNone/>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pic:cNvPicPr>
                    <a:picLocks noChangeAspect="1" noChangeArrowheads="1"/>
                  </pic:cNvPicPr>
                </pic:nvPicPr>
                <pic:blipFill>
                  <a:blip r:embed="rId1"/>
                  <a:stretch>
                    <a:fillRect/>
                  </a:stretch>
                </pic:blipFill>
                <pic:spPr bwMode="auto">
                  <a:xfrm>
                    <a:off x="0" y="0"/>
                    <a:ext cx="1449070" cy="486410"/>
                  </a:xfrm>
                  <a:prstGeom prst="rect">
                    <a:avLst/>
                  </a:prstGeom>
                </pic:spPr>
              </pic:pic>
            </a:graphicData>
          </a:graphic>
        </wp:anchor>
      </w:drawing>
    </w:r>
  </w:p>
  <w:p>
    <w:pPr>
      <w:pStyle w:val="Header"/>
      <w:rPr/>
    </w:pPr>
    <w:r>
      <w:rPr/>
    </w:r>
  </w:p>
  <w:p>
    <w:pPr>
      <w:pStyle w:val="Header"/>
      <w:rPr/>
    </w:pPr>
    <w:r>
      <w:rPr/>
    </w:r>
  </w:p>
  <w:p>
    <w:pPr>
      <w:pStyle w:val="Header"/>
      <w:jc w:val="right"/>
      <w:rPr>
        <w:sz w:val="14"/>
        <w:szCs w:val="14"/>
      </w:rPr>
    </w:pPr>
    <w:r>
      <w:rPr>
        <w:sz w:val="14"/>
        <w:szCs w:val="14"/>
      </w:rPr>
    </w:r>
  </w:p>
  <w:p>
    <w:pPr>
      <w:pStyle w:val="Header"/>
      <w:jc w:val="right"/>
      <w:rPr>
        <w:b/>
        <w:b/>
        <w:sz w:val="16"/>
        <w:szCs w:val="14"/>
      </w:rPr>
    </w:pPr>
    <w:r>
      <w:rPr>
        <w:b/>
        <w:sz w:val="16"/>
        <w:szCs w:val="14"/>
      </w:rPr>
      <w:t>PF-PTD-294</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29b1"/>
    <w:pPr>
      <w:widowControl/>
      <w:bidi w:val="0"/>
      <w:spacing w:lineRule="auto" w:line="276" w:before="0" w:after="0"/>
      <w:jc w:val="left"/>
    </w:pPr>
    <w:rPr>
      <w:rFonts w:ascii="Calibri" w:hAnsi="Calibri" w:eastAsia="Times New Roman" w:cs="Times New Roman"/>
      <w:color w:val="auto"/>
      <w:kern w:val="0"/>
      <w:sz w:val="22"/>
      <w:szCs w:val="20"/>
      <w:lang w:eastAsia="en-US" w:val="en-GB" w:bidi="ar-SA"/>
    </w:rPr>
  </w:style>
  <w:style w:type="paragraph" w:styleId="Heading1">
    <w:name w:val="Heading 1"/>
    <w:basedOn w:val="Normal"/>
    <w:next w:val="Normal"/>
    <w:qFormat/>
    <w:rsid w:val="00410abf"/>
    <w:pPr>
      <w:keepNext w:val="true"/>
      <w:spacing w:before="240" w:after="60"/>
      <w:outlineLvl w:val="0"/>
    </w:pPr>
    <w:rPr>
      <w:b/>
      <w:iCs/>
      <w:caps/>
      <w:kern w:val="2"/>
      <w:sz w:val="28"/>
      <w:lang w:val="en-US"/>
    </w:rPr>
  </w:style>
  <w:style w:type="paragraph" w:styleId="Heading2">
    <w:name w:val="Heading 2"/>
    <w:basedOn w:val="Normal"/>
    <w:next w:val="Normal"/>
    <w:qFormat/>
    <w:pPr>
      <w:keepNext w:val="true"/>
      <w:spacing w:before="240" w:after="60"/>
      <w:outlineLvl w:val="1"/>
    </w:pPr>
    <w:rPr>
      <w:rFonts w:cs="Arial"/>
      <w:b/>
      <w:bCs/>
      <w:sz w:val="24"/>
      <w:szCs w:val="28"/>
      <w:lang w:val="en-US"/>
    </w:rPr>
  </w:style>
  <w:style w:type="paragraph" w:styleId="Heading3">
    <w:name w:val="Heading 3"/>
    <w:basedOn w:val="Normal"/>
    <w:next w:val="Normal"/>
    <w:qFormat/>
    <w:pPr>
      <w:keepNext w:val="true"/>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styleId="DefaultParagraphFont" w:default="1">
    <w:name w:val="Default Paragraph Font"/>
    <w:uiPriority w:val="1"/>
    <w:semiHidden/>
    <w:unhideWhenUsed/>
    <w:qFormat/>
    <w:rPr/>
  </w:style>
  <w:style w:type="character" w:styleId="Headings" w:customStyle="1">
    <w:name w:val="Headings"/>
    <w:qFormat/>
    <w:rsid w:val="00cd78d1"/>
    <w:rPr>
      <w:rFonts w:ascii="Arial" w:hAnsi="Arial"/>
      <w:b/>
      <w:bCs/>
      <w:sz w:val="24"/>
    </w:rPr>
  </w:style>
  <w:style w:type="character" w:styleId="FooterChar" w:customStyle="1">
    <w:name w:val="Footer Char"/>
    <w:link w:val="Footer"/>
    <w:qFormat/>
    <w:rsid w:val="00a9048f"/>
    <w:rPr>
      <w:rFonts w:ascii="Arial" w:hAnsi="Arial" w:cs="Tahoma"/>
      <w:sz w:val="22"/>
      <w:lang w:val="en-GB" w:eastAsia="en-US" w:bidi="ar-SA"/>
    </w:rPr>
  </w:style>
  <w:style w:type="character" w:styleId="Heading4Char" w:customStyle="1">
    <w:name w:val="Heading 4 Char"/>
    <w:link w:val="Heading4"/>
    <w:qFormat/>
    <w:rsid w:val="00a9048f"/>
    <w:rPr>
      <w:rFonts w:ascii="Arial" w:hAnsi="Arial" w:cs="Tahoma"/>
      <w:b/>
      <w:bCs/>
      <w:color w:val="FF0000"/>
      <w:sz w:val="24"/>
      <w:szCs w:val="24"/>
      <w:lang w:val="en-GB" w:eastAsia="en-US" w:bidi="ar-SA"/>
    </w:rPr>
  </w:style>
  <w:style w:type="character" w:styleId="BodyTextTables2" w:customStyle="1">
    <w:name w:val="Body Text - Tables 2"/>
    <w:qFormat/>
    <w:rsid w:val="0059753c"/>
    <w:rPr>
      <w:rFonts w:ascii="Arial" w:hAnsi="Arial"/>
      <w:sz w:val="24"/>
    </w:rPr>
  </w:style>
  <w:style w:type="paragraph" w:styleId="Heading">
    <w:name w:val="Heading"/>
    <w:basedOn w:val="Normal"/>
    <w:next w:val="TextBody"/>
    <w:qFormat/>
    <w:pPr>
      <w:keepNext w:val="true"/>
      <w:spacing w:before="240" w:after="120"/>
    </w:pPr>
    <w:rPr>
      <w:rFonts w:ascii="Calibri Light (Headings)" w:hAnsi="Calibri Light (Headings)" w:eastAsia="Microsoft YaHei" w:cs="Mangal"/>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cs="Mangal"/>
      <w:sz w:val="24"/>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sz w:val="24"/>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320" w:leader="none"/>
        <w:tab w:val="right" w:pos="8640" w:leader="none"/>
      </w:tabs>
    </w:pPr>
    <w:rPr>
      <w:rFonts w:cs="Tahoma"/>
    </w:rPr>
  </w:style>
  <w:style w:type="paragraph" w:styleId="Header">
    <w:name w:val="Header"/>
    <w:basedOn w:val="Normal"/>
    <w:pPr>
      <w:tabs>
        <w:tab w:val="clear" w:pos="720"/>
        <w:tab w:val="center" w:pos="4320" w:leader="none"/>
        <w:tab w:val="right" w:pos="8640" w:leader="none"/>
      </w:tabs>
    </w:pPr>
    <w:rPr>
      <w:rFonts w:cs="Tahoma"/>
    </w:rPr>
  </w:style>
  <w:style w:type="paragraph" w:styleId="BodyTextFrontPage" w:customStyle="1">
    <w:name w:val="BodyText Front Page"/>
    <w:basedOn w:val="Normal"/>
    <w:qFormat/>
    <w:rsid w:val="00d838b4"/>
    <w:pPr>
      <w:jc w:val="center"/>
    </w:pPr>
    <w:rPr>
      <w:sz w:val="24"/>
    </w:rPr>
  </w:style>
  <w:style w:type="paragraph" w:styleId="Contents2">
    <w:name w:val="TOC 2"/>
    <w:basedOn w:val="Heading2"/>
    <w:next w:val="Normal"/>
    <w:autoRedefine/>
    <w:semiHidden/>
    <w:rsid w:val="00a6576b"/>
    <w:pPr>
      <w:keepNext w:val="false"/>
      <w:spacing w:before="120" w:after="0"/>
      <w:ind w:left="220" w:hanging="0"/>
      <w:outlineLvl w:val="9"/>
    </w:pPr>
    <w:rPr>
      <w:rFonts w:cs="Times New Roman"/>
      <w:b w:val="false"/>
      <w:bCs w:val="false"/>
      <w:iCs/>
      <w:szCs w:val="20"/>
      <w:lang w:val="en-GB"/>
    </w:rPr>
  </w:style>
  <w:style w:type="paragraph" w:styleId="Contents1">
    <w:name w:val="TOC 1"/>
    <w:basedOn w:val="Normal"/>
    <w:next w:val="Normal"/>
    <w:autoRedefine/>
    <w:semiHidden/>
    <w:rsid w:val="00dc69ba"/>
    <w:pPr>
      <w:spacing w:before="240" w:after="120"/>
    </w:pPr>
    <w:rPr>
      <w:b/>
      <w:bCs/>
    </w:rPr>
  </w:style>
  <w:style w:type="paragraph" w:styleId="Contents3">
    <w:name w:val="TOC 3"/>
    <w:basedOn w:val="Normal"/>
    <w:next w:val="Normal"/>
    <w:autoRedefine/>
    <w:semiHidden/>
    <w:rsid w:val="00a6576b"/>
    <w:pPr>
      <w:ind w:left="440" w:hanging="0"/>
    </w:pPr>
    <w:rPr/>
  </w:style>
  <w:style w:type="paragraph" w:styleId="Contents4">
    <w:name w:val="TOC 4"/>
    <w:basedOn w:val="Normal"/>
    <w:next w:val="Normal"/>
    <w:autoRedefine/>
    <w:semiHidden/>
    <w:pPr>
      <w:ind w:left="660" w:hanging="0"/>
    </w:pPr>
    <w:rPr>
      <w:rFonts w:ascii="Times New Roman" w:hAnsi="Times New Roman"/>
      <w:sz w:val="20"/>
    </w:rPr>
  </w:style>
  <w:style w:type="paragraph" w:styleId="Contents5">
    <w:name w:val="TOC 5"/>
    <w:basedOn w:val="Normal"/>
    <w:next w:val="Normal"/>
    <w:autoRedefine/>
    <w:semiHidden/>
    <w:pPr>
      <w:ind w:left="880" w:hanging="0"/>
    </w:pPr>
    <w:rPr>
      <w:rFonts w:ascii="Times New Roman" w:hAnsi="Times New Roman"/>
      <w:sz w:val="20"/>
    </w:rPr>
  </w:style>
  <w:style w:type="paragraph" w:styleId="Contents6">
    <w:name w:val="TOC 6"/>
    <w:basedOn w:val="Normal"/>
    <w:next w:val="Normal"/>
    <w:autoRedefine/>
    <w:semiHidden/>
    <w:pPr>
      <w:ind w:left="1100" w:hanging="0"/>
    </w:pPr>
    <w:rPr>
      <w:rFonts w:ascii="Times New Roman" w:hAnsi="Times New Roman"/>
      <w:sz w:val="20"/>
    </w:rPr>
  </w:style>
  <w:style w:type="paragraph" w:styleId="Contents7">
    <w:name w:val="TOC 7"/>
    <w:basedOn w:val="Normal"/>
    <w:next w:val="Normal"/>
    <w:autoRedefine/>
    <w:semiHidden/>
    <w:pPr>
      <w:ind w:left="1320" w:hanging="0"/>
    </w:pPr>
    <w:rPr>
      <w:rFonts w:ascii="Times New Roman" w:hAnsi="Times New Roman"/>
      <w:sz w:val="20"/>
    </w:rPr>
  </w:style>
  <w:style w:type="paragraph" w:styleId="Contents8">
    <w:name w:val="TOC 8"/>
    <w:basedOn w:val="Normal"/>
    <w:next w:val="Normal"/>
    <w:autoRedefine/>
    <w:semiHidden/>
    <w:pPr>
      <w:ind w:left="1540" w:hanging="0"/>
    </w:pPr>
    <w:rPr>
      <w:rFonts w:ascii="Times New Roman" w:hAnsi="Times New Roman"/>
      <w:sz w:val="20"/>
    </w:rPr>
  </w:style>
  <w:style w:type="paragraph" w:styleId="Contents9">
    <w:name w:val="TOC 9"/>
    <w:basedOn w:val="Normal"/>
    <w:next w:val="Normal"/>
    <w:autoRedefine/>
    <w:semiHidden/>
    <w:pPr>
      <w:ind w:left="1760" w:hanging="0"/>
    </w:pPr>
    <w:rPr>
      <w:rFonts w:ascii="Times New Roman" w:hAnsi="Times New Roman"/>
      <w:sz w:val="20"/>
    </w:rPr>
  </w:style>
  <w:style w:type="paragraph" w:styleId="MainTitle" w:customStyle="1">
    <w:name w:val="Main Title"/>
    <w:basedOn w:val="Heading1"/>
    <w:qFormat/>
    <w:rsid w:val="00d838b4"/>
    <w:pPr>
      <w:jc w:val="center"/>
    </w:pPr>
    <w:rPr>
      <w:bCs/>
      <w:iCs w:val="false"/>
      <w:sz w:val="40"/>
    </w:rPr>
  </w:style>
  <w:style w:type="paragraph" w:styleId="BodyText2ndlevel" w:customStyle="1">
    <w:name w:val="Body Text - 2nd level"/>
    <w:basedOn w:val="Normal"/>
    <w:qFormat/>
    <w:rsid w:val="0002557f"/>
    <w:pPr>
      <w:ind w:left="1066" w:hanging="0"/>
    </w:pPr>
    <w:rPr>
      <w:sz w:val="24"/>
    </w:rPr>
  </w:style>
  <w:style w:type="paragraph" w:styleId="Bodytext1stLevel" w:customStyle="1">
    <w:name w:val="Body text - 1st Level"/>
    <w:basedOn w:val="Normal"/>
    <w:qFormat/>
    <w:rsid w:val="0002557f"/>
    <w:pPr>
      <w:ind w:left="390" w:hanging="0"/>
    </w:pPr>
    <w:rPr>
      <w:sz w:val="24"/>
    </w:rPr>
  </w:style>
  <w:style w:type="paragraph" w:styleId="NoSpacing">
    <w:name w:val="No Spacing"/>
    <w:uiPriority w:val="1"/>
    <w:qFormat/>
    <w:rsid w:val="00386207"/>
    <w:pPr>
      <w:widowControl/>
      <w:bidi w:val="0"/>
      <w:spacing w:before="0" w:after="0"/>
      <w:jc w:val="left"/>
    </w:pPr>
    <w:rPr>
      <w:rFonts w:ascii="Calibri" w:hAnsi="Calibri" w:eastAsia="Times New Roman" w:cs="Times New Roman"/>
      <w:color w:val="auto"/>
      <w:kern w:val="0"/>
      <w:sz w:val="22"/>
      <w:szCs w:val="20"/>
      <w:lang w:eastAsia="en-US" w:val="en-GB" w:bidi="ar-SA"/>
    </w:rPr>
  </w:style>
  <w:style w:type="numbering" w:styleId="NoList" w:default="1">
    <w:name w:val="No List"/>
    <w:uiPriority w:val="99"/>
    <w:semiHidden/>
    <w:unhideWhenUsed/>
    <w:qFormat/>
  </w:style>
  <w:style w:type="numbering" w:styleId="NumberingMain" w:customStyle="1">
    <w:name w:val="Numbering - Main"/>
    <w:qFormat/>
    <w:rsid w:val="00620713"/>
  </w:style>
  <w:style w:type="numbering" w:styleId="Numbering2ndLevel" w:customStyle="1">
    <w:name w:val="Numbering - 2nd Level"/>
    <w:qFormat/>
    <w:rsid w:val="00891dbe"/>
  </w:style>
  <w:style w:type="numbering" w:styleId="StyleBulleted" w:customStyle="1">
    <w:name w:val="Style Bulleted"/>
    <w:qFormat/>
    <w:rsid w:val="00fa1752"/>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d7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gif"/><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5.jpeg"/>
</Relationships>
</file>

<file path=word/_rels/header3.xml.rels><?xml version="1.0" encoding="UTF-8"?>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LibreOffice/7.4.7.2$Windows_X86_64 LibreOffice_project/723314e595e8007d3cf785c16538505a1c878ca5</Application>
  <AppVersion>15.0000</AppVersion>
  <Pages>2</Pages>
  <Words>283</Words>
  <Characters>1671</Characters>
  <CharactersWithSpaces>1917</CharactersWithSpaces>
  <Paragraphs>45</Paragraphs>
  <Company>Basildon &amp; Thurrock GHT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2018-01-16T10:38:00Z</dcterms:created>
  <dc:creator>Katherine Reade</dc:creator>
  <dc:description/>
  <dc:language>en-GB</dc:language>
  <cp:lastModifiedBy/>
  <cp:lastPrinted>2013-05-21T17:03:00Z</cp:lastPrinted>
  <dcterms:modified xsi:type="dcterms:W3CDTF">2024-12-19T10:17:25Z</dcterms:modified>
  <cp:revision>12</cp:revision>
  <dc:subject/>
  <dc:title>Transferrin Saturation</dc:title>
</cp:coreProperties>
</file>

<file path=docProps/custom.xml><?xml version="1.0" encoding="utf-8"?>
<Properties xmlns="http://schemas.openxmlformats.org/officeDocument/2006/custom-properties" xmlns:vt="http://schemas.openxmlformats.org/officeDocument/2006/docPropsVTypes"/>
</file>