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35"/>
        <w:gridCol w:w="283"/>
        <w:gridCol w:w="7229"/>
      </w:tblGrid>
      <w:tr w:rsidR="009F0B13" w14:paraId="6A3BDC28" w14:textId="77777777" w:rsidTr="000132EF">
        <w:trPr>
          <w:trHeight w:val="773"/>
        </w:trPr>
        <w:tc>
          <w:tcPr>
            <w:tcW w:w="10631" w:type="dxa"/>
            <w:gridSpan w:val="4"/>
          </w:tcPr>
          <w:p w14:paraId="4363E458" w14:textId="2F3EB83C" w:rsidR="009F0B13" w:rsidRPr="000132EF" w:rsidRDefault="00252513" w:rsidP="00D02F0C">
            <w:pPr>
              <w:rPr>
                <w:b/>
                <w:sz w:val="36"/>
              </w:rPr>
            </w:pPr>
            <w:r w:rsidRPr="0025605A">
              <w:rPr>
                <w:noProof/>
                <w:lang w:val="en-US"/>
              </w:rPr>
              <w:drawing>
                <wp:anchor distT="0" distB="0" distL="114300" distR="114300" simplePos="0" relativeHeight="251658240" behindDoc="0" locked="0" layoutInCell="1" allowOverlap="1" wp14:anchorId="2E8F2E49" wp14:editId="7C56F527">
                  <wp:simplePos x="0" y="0"/>
                  <wp:positionH relativeFrom="margin">
                    <wp:posOffset>2193290</wp:posOffset>
                  </wp:positionH>
                  <wp:positionV relativeFrom="paragraph">
                    <wp:posOffset>-628650</wp:posOffset>
                  </wp:positionV>
                  <wp:extent cx="730647" cy="1041009"/>
                  <wp:effectExtent l="0" t="0" r="0" b="6985"/>
                  <wp:wrapNone/>
                  <wp:docPr id="716976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76615" name=""/>
                          <pic:cNvPicPr/>
                        </pic:nvPicPr>
                        <pic:blipFill>
                          <a:blip r:embed="rId7">
                            <a:extLst>
                              <a:ext uri="{28A0092B-C50C-407E-A947-70E740481C1C}">
                                <a14:useLocalDpi xmlns:a14="http://schemas.microsoft.com/office/drawing/2010/main" val="0"/>
                              </a:ext>
                            </a:extLst>
                          </a:blip>
                          <a:stretch>
                            <a:fillRect/>
                          </a:stretch>
                        </pic:blipFill>
                        <pic:spPr>
                          <a:xfrm>
                            <a:off x="0" y="0"/>
                            <a:ext cx="730647" cy="1041009"/>
                          </a:xfrm>
                          <a:prstGeom prst="rect">
                            <a:avLst/>
                          </a:prstGeom>
                        </pic:spPr>
                      </pic:pic>
                    </a:graphicData>
                  </a:graphic>
                  <wp14:sizeRelH relativeFrom="margin">
                    <wp14:pctWidth>0</wp14:pctWidth>
                  </wp14:sizeRelH>
                  <wp14:sizeRelV relativeFrom="margin">
                    <wp14:pctHeight>0</wp14:pctHeight>
                  </wp14:sizeRelV>
                </wp:anchor>
              </w:drawing>
            </w:r>
            <w:r w:rsidR="008D561D" w:rsidRPr="000132EF">
              <w:rPr>
                <w:b/>
                <w:sz w:val="36"/>
              </w:rPr>
              <w:t>S-100 Protein</w:t>
            </w:r>
          </w:p>
        </w:tc>
      </w:tr>
      <w:tr w:rsidR="009F0B13" w:rsidRPr="00F23565" w14:paraId="69002BB9" w14:textId="77777777" w:rsidTr="009F0B13">
        <w:tc>
          <w:tcPr>
            <w:tcW w:w="3119" w:type="dxa"/>
            <w:gridSpan w:val="2"/>
            <w:shd w:val="clear" w:color="auto" w:fill="D9D9D9" w:themeFill="background1" w:themeFillShade="D9"/>
          </w:tcPr>
          <w:p w14:paraId="1579E2B8" w14:textId="77777777" w:rsidR="00BA2D6B" w:rsidRPr="00276E72" w:rsidRDefault="00BA2D6B" w:rsidP="004F3E2E">
            <w:pPr>
              <w:spacing w:line="360" w:lineRule="auto"/>
              <w:rPr>
                <w:b/>
                <w:sz w:val="24"/>
              </w:rPr>
            </w:pPr>
            <w:r w:rsidRPr="00276E72">
              <w:rPr>
                <w:b/>
                <w:sz w:val="24"/>
              </w:rPr>
              <w:t>Synonyms</w:t>
            </w:r>
          </w:p>
        </w:tc>
        <w:tc>
          <w:tcPr>
            <w:tcW w:w="283" w:type="dxa"/>
            <w:shd w:val="clear" w:color="auto" w:fill="auto"/>
          </w:tcPr>
          <w:p w14:paraId="7FFB6DCE" w14:textId="77777777" w:rsidR="00BA2D6B" w:rsidRDefault="00BA2D6B" w:rsidP="004F3E2E">
            <w:pPr>
              <w:spacing w:line="360" w:lineRule="auto"/>
            </w:pPr>
          </w:p>
        </w:tc>
        <w:tc>
          <w:tcPr>
            <w:tcW w:w="7229" w:type="dxa"/>
            <w:shd w:val="clear" w:color="auto" w:fill="D9D9D9" w:themeFill="background1" w:themeFillShade="D9"/>
          </w:tcPr>
          <w:p w14:paraId="6BB0642E" w14:textId="77777777" w:rsidR="00BA2D6B" w:rsidRPr="0060596E" w:rsidRDefault="008D561D" w:rsidP="004F3E2E">
            <w:pPr>
              <w:spacing w:line="360" w:lineRule="auto"/>
              <w:rPr>
                <w:rFonts w:asciiTheme="minorHAnsi" w:hAnsiTheme="minorHAnsi"/>
                <w:szCs w:val="22"/>
              </w:rPr>
            </w:pPr>
            <w:r w:rsidRPr="008D561D">
              <w:rPr>
                <w:rFonts w:asciiTheme="minorHAnsi" w:hAnsiTheme="minorHAnsi"/>
                <w:szCs w:val="22"/>
              </w:rPr>
              <w:t>S100B</w:t>
            </w:r>
            <w:r w:rsidR="00E74E86">
              <w:rPr>
                <w:rFonts w:asciiTheme="minorHAnsi" w:hAnsiTheme="minorHAnsi"/>
                <w:szCs w:val="22"/>
              </w:rPr>
              <w:t>, S100</w:t>
            </w:r>
          </w:p>
        </w:tc>
      </w:tr>
      <w:tr w:rsidR="00BA2D6B" w:rsidRPr="00F23565" w14:paraId="15BB557A" w14:textId="77777777" w:rsidTr="009F0B13">
        <w:tc>
          <w:tcPr>
            <w:tcW w:w="3119" w:type="dxa"/>
            <w:gridSpan w:val="2"/>
          </w:tcPr>
          <w:p w14:paraId="469A5184" w14:textId="77777777" w:rsidR="00BA2D6B" w:rsidRPr="00276E72" w:rsidRDefault="00BA2D6B" w:rsidP="004F3E2E">
            <w:pPr>
              <w:spacing w:line="360" w:lineRule="auto"/>
              <w:rPr>
                <w:b/>
                <w:sz w:val="24"/>
              </w:rPr>
            </w:pPr>
            <w:r w:rsidRPr="00276E72">
              <w:rPr>
                <w:b/>
                <w:sz w:val="24"/>
              </w:rPr>
              <w:t>Clinical Indication</w:t>
            </w:r>
          </w:p>
        </w:tc>
        <w:tc>
          <w:tcPr>
            <w:tcW w:w="283" w:type="dxa"/>
            <w:shd w:val="clear" w:color="auto" w:fill="auto"/>
          </w:tcPr>
          <w:p w14:paraId="293611B7" w14:textId="77777777" w:rsidR="00BA2D6B" w:rsidRDefault="00BA2D6B" w:rsidP="004F3E2E">
            <w:pPr>
              <w:spacing w:line="360" w:lineRule="auto"/>
            </w:pPr>
          </w:p>
        </w:tc>
        <w:tc>
          <w:tcPr>
            <w:tcW w:w="7229" w:type="dxa"/>
          </w:tcPr>
          <w:p w14:paraId="1A526E60" w14:textId="3239DF49" w:rsidR="00BA2D6B" w:rsidRPr="00E74E86" w:rsidRDefault="00E74E86" w:rsidP="00E74E86">
            <w:pPr>
              <w:rPr>
                <w:rFonts w:ascii="Times New Roman" w:hAnsi="Times New Roman"/>
                <w:sz w:val="24"/>
                <w:szCs w:val="24"/>
                <w:lang w:eastAsia="en-GB"/>
              </w:rPr>
            </w:pPr>
            <w:r>
              <w:rPr>
                <w:rFonts w:asciiTheme="minorHAnsi" w:hAnsiTheme="minorHAnsi"/>
                <w:szCs w:val="22"/>
                <w:lang w:eastAsia="en-GB"/>
              </w:rPr>
              <w:t xml:space="preserve">S-100 is a calcium binding protein. It is present in astrocytes and glial cells </w:t>
            </w:r>
            <w:proofErr w:type="gramStart"/>
            <w:r>
              <w:rPr>
                <w:rFonts w:asciiTheme="minorHAnsi" w:hAnsiTheme="minorHAnsi"/>
                <w:szCs w:val="22"/>
                <w:lang w:eastAsia="en-GB"/>
              </w:rPr>
              <w:t>and also</w:t>
            </w:r>
            <w:proofErr w:type="gramEnd"/>
            <w:r>
              <w:rPr>
                <w:rFonts w:asciiTheme="minorHAnsi" w:hAnsiTheme="minorHAnsi"/>
                <w:szCs w:val="22"/>
                <w:lang w:eastAsia="en-GB"/>
              </w:rPr>
              <w:t xml:space="preserve"> in melanocytes. Studies suggest S</w:t>
            </w:r>
            <w:r w:rsidR="008D561D" w:rsidRPr="008D561D">
              <w:rPr>
                <w:rFonts w:asciiTheme="minorHAnsi" w:hAnsiTheme="minorHAnsi"/>
                <w:szCs w:val="22"/>
                <w:lang w:eastAsia="en-GB"/>
              </w:rPr>
              <w:t>100</w:t>
            </w:r>
            <w:r>
              <w:rPr>
                <w:rFonts w:asciiTheme="minorHAnsi" w:hAnsiTheme="minorHAnsi"/>
                <w:szCs w:val="22"/>
                <w:lang w:eastAsia="en-GB"/>
              </w:rPr>
              <w:t>B</w:t>
            </w:r>
            <w:r w:rsidR="008D561D" w:rsidRPr="008D561D">
              <w:rPr>
                <w:rFonts w:asciiTheme="minorHAnsi" w:hAnsiTheme="minorHAnsi"/>
                <w:szCs w:val="22"/>
                <w:lang w:eastAsia="en-GB"/>
              </w:rPr>
              <w:t xml:space="preserve"> has </w:t>
            </w:r>
            <w:proofErr w:type="gramStart"/>
            <w:r w:rsidR="008D561D" w:rsidRPr="008D561D">
              <w:rPr>
                <w:rFonts w:asciiTheme="minorHAnsi" w:hAnsiTheme="minorHAnsi"/>
                <w:szCs w:val="22"/>
                <w:lang w:eastAsia="en-GB"/>
              </w:rPr>
              <w:t>particular utility</w:t>
            </w:r>
            <w:proofErr w:type="gramEnd"/>
            <w:r w:rsidR="008D561D" w:rsidRPr="008D561D">
              <w:rPr>
                <w:rFonts w:asciiTheme="minorHAnsi" w:hAnsiTheme="minorHAnsi"/>
                <w:szCs w:val="22"/>
                <w:lang w:eastAsia="en-GB"/>
              </w:rPr>
              <w:t xml:space="preserve"> in staging of malignant melanoma, in establishing prognosis, in evaluating treatment success and in pr</w:t>
            </w:r>
            <w:r>
              <w:rPr>
                <w:rFonts w:asciiTheme="minorHAnsi" w:hAnsiTheme="minorHAnsi"/>
                <w:szCs w:val="22"/>
                <w:lang w:eastAsia="en-GB"/>
              </w:rPr>
              <w:t xml:space="preserve">edicting relapse. </w:t>
            </w:r>
            <w:r w:rsidRPr="00E74E86">
              <w:rPr>
                <w:rFonts w:asciiTheme="minorHAnsi" w:hAnsiTheme="minorHAnsi"/>
                <w:szCs w:val="22"/>
                <w:lang w:eastAsia="en-GB"/>
              </w:rPr>
              <w:t>A value greater than 0.2 µg/L is indicative of advanced disease (Stages 3 and 4) with a Positive Predictive Value of approximately 90%. Rising values can be seen 1-2 months in advance of clinical featu</w:t>
            </w:r>
            <w:r>
              <w:rPr>
                <w:rFonts w:asciiTheme="minorHAnsi" w:hAnsiTheme="minorHAnsi"/>
                <w:szCs w:val="22"/>
                <w:lang w:eastAsia="en-GB"/>
              </w:rPr>
              <w:t>res of metastatic disease. The</w:t>
            </w:r>
            <w:r w:rsidRPr="00E74E86">
              <w:rPr>
                <w:rFonts w:asciiTheme="minorHAnsi" w:hAnsiTheme="minorHAnsi"/>
                <w:szCs w:val="22"/>
                <w:lang w:eastAsia="en-GB"/>
              </w:rPr>
              <w:t xml:space="preserve"> concentration of S100B has been shown to be related to tumour burden and gives an early indication of successful response to chemotherapy. Values that fail to fall after one month of chemotherapy indicate the tumour is insensitive to the </w:t>
            </w:r>
            <w:proofErr w:type="gramStart"/>
            <w:r w:rsidRPr="00E74E86">
              <w:rPr>
                <w:rFonts w:asciiTheme="minorHAnsi" w:hAnsiTheme="minorHAnsi"/>
                <w:szCs w:val="22"/>
                <w:lang w:eastAsia="en-GB"/>
              </w:rPr>
              <w:t>particular chemotherapy</w:t>
            </w:r>
            <w:proofErr w:type="gramEnd"/>
            <w:r w:rsidRPr="00E74E86">
              <w:rPr>
                <w:rFonts w:asciiTheme="minorHAnsi" w:hAnsiTheme="minorHAnsi"/>
                <w:szCs w:val="22"/>
                <w:lang w:eastAsia="en-GB"/>
              </w:rPr>
              <w:t xml:space="preserve"> regime.</w:t>
            </w:r>
          </w:p>
          <w:p w14:paraId="67612AFF" w14:textId="77777777" w:rsidR="008D561D" w:rsidRPr="0060596E" w:rsidRDefault="000132EF" w:rsidP="000132EF">
            <w:pPr>
              <w:autoSpaceDE w:val="0"/>
              <w:autoSpaceDN w:val="0"/>
              <w:adjustRightInd w:val="0"/>
              <w:spacing w:before="100" w:after="100" w:line="240" w:lineRule="auto"/>
              <w:rPr>
                <w:rFonts w:asciiTheme="minorHAnsi" w:hAnsiTheme="minorHAnsi"/>
                <w:szCs w:val="22"/>
                <w:lang w:eastAsia="en-GB"/>
              </w:rPr>
            </w:pPr>
            <w:r>
              <w:rPr>
                <w:rFonts w:asciiTheme="minorHAnsi" w:hAnsiTheme="minorHAnsi"/>
                <w:szCs w:val="22"/>
                <w:lang w:eastAsia="en-GB"/>
              </w:rPr>
              <w:t>Used in the a</w:t>
            </w:r>
            <w:r w:rsidR="008D561D" w:rsidRPr="008D561D">
              <w:rPr>
                <w:rFonts w:asciiTheme="minorHAnsi" w:hAnsiTheme="minorHAnsi"/>
                <w:szCs w:val="22"/>
                <w:lang w:eastAsia="en-GB"/>
              </w:rPr>
              <w:t>ssessment and monitoring of patients with malignant melanoma.</w:t>
            </w:r>
          </w:p>
        </w:tc>
      </w:tr>
      <w:tr w:rsidR="009F0B13" w:rsidRPr="00F23565" w14:paraId="41D3610F" w14:textId="77777777" w:rsidTr="009F0B13">
        <w:tc>
          <w:tcPr>
            <w:tcW w:w="3119" w:type="dxa"/>
            <w:gridSpan w:val="2"/>
            <w:shd w:val="clear" w:color="auto" w:fill="D9D9D9" w:themeFill="background1" w:themeFillShade="D9"/>
          </w:tcPr>
          <w:p w14:paraId="4ECADED2" w14:textId="77777777" w:rsidR="00BA2D6B" w:rsidRPr="00276E72" w:rsidRDefault="00BA2D6B" w:rsidP="004F3E2E">
            <w:pPr>
              <w:spacing w:line="360" w:lineRule="auto"/>
              <w:rPr>
                <w:b/>
                <w:sz w:val="24"/>
              </w:rPr>
            </w:pPr>
            <w:r w:rsidRPr="00276E72">
              <w:rPr>
                <w:b/>
                <w:sz w:val="24"/>
              </w:rPr>
              <w:t>Part of Profile / See Also</w:t>
            </w:r>
          </w:p>
        </w:tc>
        <w:tc>
          <w:tcPr>
            <w:tcW w:w="283" w:type="dxa"/>
            <w:shd w:val="clear" w:color="auto" w:fill="auto"/>
          </w:tcPr>
          <w:p w14:paraId="57D2EC4A" w14:textId="77777777" w:rsidR="00BA2D6B" w:rsidRDefault="00BA2D6B" w:rsidP="004F3E2E">
            <w:pPr>
              <w:spacing w:line="360" w:lineRule="auto"/>
            </w:pPr>
          </w:p>
        </w:tc>
        <w:tc>
          <w:tcPr>
            <w:tcW w:w="7229" w:type="dxa"/>
            <w:shd w:val="clear" w:color="auto" w:fill="D9D9D9" w:themeFill="background1" w:themeFillShade="D9"/>
          </w:tcPr>
          <w:p w14:paraId="51BFB018" w14:textId="77777777" w:rsidR="00BA2D6B" w:rsidRPr="0060596E" w:rsidRDefault="00BA2D6B" w:rsidP="004F3E2E">
            <w:pPr>
              <w:spacing w:line="360" w:lineRule="auto"/>
              <w:rPr>
                <w:rFonts w:asciiTheme="minorHAnsi" w:hAnsiTheme="minorHAnsi"/>
                <w:szCs w:val="22"/>
              </w:rPr>
            </w:pPr>
          </w:p>
        </w:tc>
      </w:tr>
      <w:tr w:rsidR="00BA2D6B" w:rsidRPr="00F23565" w14:paraId="675E7B10" w14:textId="77777777" w:rsidTr="009F0B13">
        <w:tc>
          <w:tcPr>
            <w:tcW w:w="3119" w:type="dxa"/>
            <w:gridSpan w:val="2"/>
          </w:tcPr>
          <w:p w14:paraId="653F5C35" w14:textId="77777777" w:rsidR="00BA2D6B" w:rsidRPr="00276E72" w:rsidRDefault="00233CC3" w:rsidP="004F3E2E">
            <w:pPr>
              <w:spacing w:line="360" w:lineRule="auto"/>
              <w:rPr>
                <w:b/>
                <w:sz w:val="24"/>
              </w:rPr>
            </w:pPr>
            <w:r>
              <w:rPr>
                <w:b/>
                <w:sz w:val="24"/>
              </w:rPr>
              <w:t>Request F</w:t>
            </w:r>
            <w:r w:rsidR="00BA2D6B" w:rsidRPr="00276E72">
              <w:rPr>
                <w:b/>
                <w:sz w:val="24"/>
              </w:rPr>
              <w:t>o</w:t>
            </w:r>
            <w:r>
              <w:rPr>
                <w:b/>
                <w:sz w:val="24"/>
              </w:rPr>
              <w:t>r</w:t>
            </w:r>
            <w:r w:rsidR="00BA2D6B" w:rsidRPr="00276E72">
              <w:rPr>
                <w:b/>
                <w:sz w:val="24"/>
              </w:rPr>
              <w:t>m</w:t>
            </w:r>
          </w:p>
        </w:tc>
        <w:tc>
          <w:tcPr>
            <w:tcW w:w="283" w:type="dxa"/>
            <w:shd w:val="clear" w:color="auto" w:fill="auto"/>
          </w:tcPr>
          <w:p w14:paraId="4AC13C56" w14:textId="77777777" w:rsidR="00BA2D6B" w:rsidRDefault="00BA2D6B" w:rsidP="004F3E2E">
            <w:pPr>
              <w:spacing w:line="360" w:lineRule="auto"/>
            </w:pPr>
          </w:p>
        </w:tc>
        <w:tc>
          <w:tcPr>
            <w:tcW w:w="7229" w:type="dxa"/>
          </w:tcPr>
          <w:p w14:paraId="72349C56" w14:textId="77777777" w:rsidR="00BA2D6B" w:rsidRPr="0060596E" w:rsidRDefault="008D561D" w:rsidP="000132EF">
            <w:pPr>
              <w:autoSpaceDE w:val="0"/>
              <w:autoSpaceDN w:val="0"/>
              <w:adjustRightInd w:val="0"/>
              <w:spacing w:before="100" w:after="100" w:line="240" w:lineRule="auto"/>
              <w:rPr>
                <w:rFonts w:asciiTheme="minorHAnsi" w:hAnsiTheme="minorHAnsi"/>
                <w:szCs w:val="22"/>
                <w:lang w:eastAsia="en-GB"/>
              </w:rPr>
            </w:pPr>
            <w:r w:rsidRPr="008D561D">
              <w:rPr>
                <w:rFonts w:asciiTheme="minorHAnsi" w:hAnsiTheme="minorHAnsi"/>
                <w:szCs w:val="22"/>
                <w:lang w:eastAsia="en-GB"/>
              </w:rPr>
              <w:t xml:space="preserve">Combined Pathology </w:t>
            </w:r>
            <w:r w:rsidR="000132EF">
              <w:rPr>
                <w:rFonts w:asciiTheme="minorHAnsi" w:hAnsiTheme="minorHAnsi"/>
                <w:szCs w:val="22"/>
                <w:lang w:eastAsia="en-GB"/>
              </w:rPr>
              <w:t xml:space="preserve">manual </w:t>
            </w:r>
            <w:r w:rsidRPr="008D561D">
              <w:rPr>
                <w:rFonts w:asciiTheme="minorHAnsi" w:hAnsiTheme="minorHAnsi"/>
                <w:szCs w:val="22"/>
                <w:lang w:eastAsia="en-GB"/>
              </w:rPr>
              <w:t xml:space="preserve">Blood form </w:t>
            </w:r>
            <w:r w:rsidR="000132EF">
              <w:rPr>
                <w:rFonts w:asciiTheme="minorHAnsi" w:hAnsiTheme="minorHAnsi"/>
                <w:szCs w:val="22"/>
                <w:lang w:eastAsia="en-GB"/>
              </w:rPr>
              <w:t>or ICE request</w:t>
            </w:r>
          </w:p>
        </w:tc>
      </w:tr>
      <w:tr w:rsidR="00BA2D6B" w:rsidRPr="00F23565" w14:paraId="5FE5C49A" w14:textId="77777777" w:rsidTr="00BA2D6B">
        <w:tc>
          <w:tcPr>
            <w:tcW w:w="3119" w:type="dxa"/>
            <w:gridSpan w:val="2"/>
            <w:shd w:val="clear" w:color="auto" w:fill="D9D9D9" w:themeFill="background1" w:themeFillShade="D9"/>
          </w:tcPr>
          <w:p w14:paraId="2EA3FD57" w14:textId="77777777" w:rsidR="00BA2D6B" w:rsidRPr="00276E72" w:rsidRDefault="00BA2D6B" w:rsidP="004F3E2E">
            <w:pPr>
              <w:spacing w:line="360" w:lineRule="auto"/>
              <w:rPr>
                <w:b/>
                <w:sz w:val="24"/>
              </w:rPr>
            </w:pPr>
            <w:r>
              <w:rPr>
                <w:b/>
                <w:sz w:val="24"/>
              </w:rPr>
              <w:t>Availability / Frequency of Analysis</w:t>
            </w:r>
          </w:p>
        </w:tc>
        <w:tc>
          <w:tcPr>
            <w:tcW w:w="283" w:type="dxa"/>
            <w:shd w:val="clear" w:color="auto" w:fill="auto"/>
          </w:tcPr>
          <w:p w14:paraId="643AB4FD" w14:textId="77777777" w:rsidR="00BA2D6B" w:rsidRDefault="00BA2D6B" w:rsidP="004F3E2E">
            <w:pPr>
              <w:spacing w:line="360" w:lineRule="auto"/>
            </w:pPr>
          </w:p>
        </w:tc>
        <w:tc>
          <w:tcPr>
            <w:tcW w:w="7229" w:type="dxa"/>
            <w:shd w:val="clear" w:color="auto" w:fill="D9D9D9" w:themeFill="background1" w:themeFillShade="D9"/>
          </w:tcPr>
          <w:p w14:paraId="3B3E4B91" w14:textId="77777777" w:rsidR="00BA2D6B" w:rsidRPr="0060596E" w:rsidRDefault="008D561D" w:rsidP="000132EF">
            <w:pPr>
              <w:autoSpaceDE w:val="0"/>
              <w:autoSpaceDN w:val="0"/>
              <w:adjustRightInd w:val="0"/>
              <w:spacing w:before="100" w:after="100" w:line="240" w:lineRule="auto"/>
              <w:rPr>
                <w:rFonts w:asciiTheme="minorHAnsi" w:hAnsiTheme="minorHAnsi"/>
                <w:szCs w:val="22"/>
                <w:lang w:eastAsia="en-GB"/>
              </w:rPr>
            </w:pPr>
            <w:r w:rsidRPr="008D561D">
              <w:rPr>
                <w:rFonts w:asciiTheme="minorHAnsi" w:hAnsiTheme="minorHAnsi"/>
                <w:szCs w:val="22"/>
                <w:lang w:eastAsia="en-GB"/>
              </w:rPr>
              <w:t>Referr</w:t>
            </w:r>
            <w:r w:rsidR="000132EF">
              <w:rPr>
                <w:rFonts w:asciiTheme="minorHAnsi" w:hAnsiTheme="minorHAnsi"/>
                <w:szCs w:val="22"/>
                <w:lang w:eastAsia="en-GB"/>
              </w:rPr>
              <w:t>ed</w:t>
            </w:r>
            <w:r w:rsidRPr="008D561D">
              <w:rPr>
                <w:rFonts w:asciiTheme="minorHAnsi" w:hAnsiTheme="minorHAnsi"/>
                <w:szCs w:val="22"/>
                <w:lang w:eastAsia="en-GB"/>
              </w:rPr>
              <w:t xml:space="preserve"> test: Analysed by</w:t>
            </w:r>
            <w:r w:rsidR="00E74E86">
              <w:rPr>
                <w:rFonts w:asciiTheme="minorHAnsi" w:hAnsiTheme="minorHAnsi"/>
                <w:szCs w:val="22"/>
                <w:lang w:eastAsia="en-GB"/>
              </w:rPr>
              <w:t xml:space="preserve"> Biochemistry, King’s College Hospital</w:t>
            </w:r>
            <w:r w:rsidRPr="008D561D">
              <w:rPr>
                <w:rFonts w:asciiTheme="minorHAnsi" w:hAnsiTheme="minorHAnsi"/>
                <w:szCs w:val="22"/>
                <w:lang w:eastAsia="en-GB"/>
              </w:rPr>
              <w:t xml:space="preserve"> if specific criteria met.</w:t>
            </w:r>
          </w:p>
        </w:tc>
      </w:tr>
      <w:tr w:rsidR="00BA2D6B" w:rsidRPr="00F23565" w14:paraId="4E88AF1C" w14:textId="77777777" w:rsidTr="00BA2D6B">
        <w:tc>
          <w:tcPr>
            <w:tcW w:w="3119" w:type="dxa"/>
            <w:gridSpan w:val="2"/>
          </w:tcPr>
          <w:p w14:paraId="0CB43A5D" w14:textId="77777777" w:rsidR="00BA2D6B" w:rsidRPr="00276E72" w:rsidRDefault="00BA2D6B" w:rsidP="004F3E2E">
            <w:pPr>
              <w:spacing w:line="360" w:lineRule="auto"/>
              <w:rPr>
                <w:b/>
                <w:sz w:val="24"/>
              </w:rPr>
            </w:pPr>
            <w:r w:rsidRPr="00276E72">
              <w:rPr>
                <w:b/>
                <w:sz w:val="24"/>
              </w:rPr>
              <w:t>Turnaround Time</w:t>
            </w:r>
          </w:p>
        </w:tc>
        <w:tc>
          <w:tcPr>
            <w:tcW w:w="283" w:type="dxa"/>
            <w:shd w:val="clear" w:color="auto" w:fill="auto"/>
          </w:tcPr>
          <w:p w14:paraId="792FC345" w14:textId="77777777" w:rsidR="00BA2D6B" w:rsidRDefault="00BA2D6B" w:rsidP="004F3E2E">
            <w:pPr>
              <w:spacing w:line="360" w:lineRule="auto"/>
            </w:pPr>
          </w:p>
        </w:tc>
        <w:tc>
          <w:tcPr>
            <w:tcW w:w="7229" w:type="dxa"/>
          </w:tcPr>
          <w:p w14:paraId="386324D4" w14:textId="77777777" w:rsidR="00BA2D6B" w:rsidRPr="0060596E" w:rsidRDefault="008D561D" w:rsidP="004F3E2E">
            <w:pPr>
              <w:spacing w:line="360" w:lineRule="auto"/>
              <w:rPr>
                <w:rFonts w:asciiTheme="minorHAnsi" w:hAnsiTheme="minorHAnsi"/>
                <w:szCs w:val="22"/>
              </w:rPr>
            </w:pPr>
            <w:r w:rsidRPr="008D561D">
              <w:rPr>
                <w:rFonts w:asciiTheme="minorHAnsi" w:hAnsiTheme="minorHAnsi"/>
                <w:szCs w:val="22"/>
              </w:rPr>
              <w:t>2 weeks</w:t>
            </w:r>
          </w:p>
        </w:tc>
      </w:tr>
      <w:tr w:rsidR="00BA2D6B" w:rsidRPr="00F23565" w14:paraId="435D3FE9" w14:textId="77777777" w:rsidTr="00BA2D6B">
        <w:tc>
          <w:tcPr>
            <w:tcW w:w="3119" w:type="dxa"/>
            <w:gridSpan w:val="2"/>
            <w:shd w:val="clear" w:color="auto" w:fill="D9D9D9" w:themeFill="background1" w:themeFillShade="D9"/>
          </w:tcPr>
          <w:p w14:paraId="6CB293B2" w14:textId="77777777" w:rsidR="00BA2D6B" w:rsidRPr="00276E72" w:rsidRDefault="00BA2D6B" w:rsidP="004F3E2E">
            <w:pPr>
              <w:spacing w:line="360" w:lineRule="auto"/>
              <w:rPr>
                <w:b/>
                <w:sz w:val="24"/>
              </w:rPr>
            </w:pPr>
            <w:r w:rsidRPr="00276E72">
              <w:rPr>
                <w:b/>
                <w:sz w:val="24"/>
              </w:rPr>
              <w:t>Patient Preparation</w:t>
            </w:r>
          </w:p>
        </w:tc>
        <w:tc>
          <w:tcPr>
            <w:tcW w:w="283" w:type="dxa"/>
            <w:shd w:val="clear" w:color="auto" w:fill="auto"/>
          </w:tcPr>
          <w:p w14:paraId="19D8FB4B" w14:textId="77777777" w:rsidR="00BA2D6B" w:rsidRDefault="00BA2D6B" w:rsidP="004F3E2E">
            <w:pPr>
              <w:spacing w:line="360" w:lineRule="auto"/>
            </w:pPr>
          </w:p>
        </w:tc>
        <w:tc>
          <w:tcPr>
            <w:tcW w:w="7229" w:type="dxa"/>
            <w:shd w:val="clear" w:color="auto" w:fill="D9D9D9" w:themeFill="background1" w:themeFillShade="D9"/>
          </w:tcPr>
          <w:p w14:paraId="342D27D1" w14:textId="77777777" w:rsidR="008D561D" w:rsidRPr="0060596E" w:rsidRDefault="00166CFF" w:rsidP="004F3E2E">
            <w:pPr>
              <w:spacing w:line="360" w:lineRule="auto"/>
              <w:rPr>
                <w:rFonts w:asciiTheme="minorHAnsi" w:hAnsiTheme="minorHAnsi"/>
                <w:szCs w:val="22"/>
              </w:rPr>
            </w:pPr>
            <w:r>
              <w:rPr>
                <w:rFonts w:asciiTheme="minorHAnsi" w:hAnsiTheme="minorHAnsi"/>
                <w:szCs w:val="22"/>
              </w:rPr>
              <w:t>Try to avoid sending samples for S100 on a Friday due to stability</w:t>
            </w:r>
          </w:p>
        </w:tc>
      </w:tr>
      <w:tr w:rsidR="00BA2D6B" w:rsidRPr="00F23565" w14:paraId="6250692B" w14:textId="77777777" w:rsidTr="00BA2D6B">
        <w:tc>
          <w:tcPr>
            <w:tcW w:w="3119" w:type="dxa"/>
            <w:gridSpan w:val="2"/>
          </w:tcPr>
          <w:p w14:paraId="6B69B651" w14:textId="77777777" w:rsidR="00BA2D6B" w:rsidRPr="00276E72" w:rsidRDefault="00BA2D6B" w:rsidP="004F3E2E">
            <w:pPr>
              <w:spacing w:line="360" w:lineRule="auto"/>
              <w:rPr>
                <w:b/>
                <w:sz w:val="24"/>
              </w:rPr>
            </w:pPr>
            <w:r w:rsidRPr="00276E72">
              <w:rPr>
                <w:b/>
                <w:sz w:val="24"/>
              </w:rPr>
              <w:t>Sample Requirements</w:t>
            </w:r>
          </w:p>
        </w:tc>
        <w:tc>
          <w:tcPr>
            <w:tcW w:w="283" w:type="dxa"/>
            <w:shd w:val="clear" w:color="auto" w:fill="auto"/>
          </w:tcPr>
          <w:p w14:paraId="5184381D" w14:textId="77777777" w:rsidR="00BA2D6B" w:rsidRDefault="00BA2D6B" w:rsidP="004F3E2E">
            <w:pPr>
              <w:spacing w:line="360" w:lineRule="auto"/>
            </w:pPr>
          </w:p>
        </w:tc>
        <w:tc>
          <w:tcPr>
            <w:tcW w:w="7229" w:type="dxa"/>
          </w:tcPr>
          <w:p w14:paraId="58697F95" w14:textId="77777777" w:rsidR="00BA2D6B" w:rsidRPr="0060596E" w:rsidRDefault="00BA2D6B" w:rsidP="004F3E2E">
            <w:pPr>
              <w:spacing w:line="360" w:lineRule="auto"/>
              <w:rPr>
                <w:rFonts w:asciiTheme="minorHAnsi" w:hAnsiTheme="minorHAnsi"/>
                <w:szCs w:val="22"/>
              </w:rPr>
            </w:pPr>
          </w:p>
        </w:tc>
      </w:tr>
      <w:tr w:rsidR="00BA2D6B" w:rsidRPr="00F23565" w14:paraId="6C69ED5A" w14:textId="77777777" w:rsidTr="00BA2D6B">
        <w:trPr>
          <w:gridBefore w:val="1"/>
          <w:wBefore w:w="284" w:type="dxa"/>
        </w:trPr>
        <w:tc>
          <w:tcPr>
            <w:tcW w:w="2835" w:type="dxa"/>
          </w:tcPr>
          <w:p w14:paraId="41DF81FE" w14:textId="77777777" w:rsidR="00BA2D6B" w:rsidRPr="00276E72" w:rsidRDefault="00BA2D6B" w:rsidP="004F3E2E">
            <w:pPr>
              <w:spacing w:line="360" w:lineRule="auto"/>
              <w:rPr>
                <w:b/>
                <w:sz w:val="24"/>
              </w:rPr>
            </w:pPr>
            <w:r>
              <w:rPr>
                <w:b/>
                <w:sz w:val="24"/>
              </w:rPr>
              <w:t>Specimen</w:t>
            </w:r>
            <w:r w:rsidRPr="00276E72">
              <w:rPr>
                <w:b/>
                <w:sz w:val="24"/>
              </w:rPr>
              <w:t xml:space="preserve"> Type</w:t>
            </w:r>
          </w:p>
        </w:tc>
        <w:tc>
          <w:tcPr>
            <w:tcW w:w="283" w:type="dxa"/>
            <w:shd w:val="clear" w:color="auto" w:fill="auto"/>
          </w:tcPr>
          <w:p w14:paraId="368AD247" w14:textId="77777777" w:rsidR="00BA2D6B" w:rsidRDefault="00BA2D6B" w:rsidP="004F3E2E">
            <w:pPr>
              <w:spacing w:line="360" w:lineRule="auto"/>
            </w:pPr>
          </w:p>
        </w:tc>
        <w:tc>
          <w:tcPr>
            <w:tcW w:w="7229" w:type="dxa"/>
          </w:tcPr>
          <w:p w14:paraId="06B1C1F1" w14:textId="77777777" w:rsidR="00BA2D6B" w:rsidRPr="0060596E" w:rsidRDefault="008D561D" w:rsidP="004F3E2E">
            <w:pPr>
              <w:spacing w:line="360" w:lineRule="auto"/>
              <w:rPr>
                <w:rFonts w:asciiTheme="minorHAnsi" w:hAnsiTheme="minorHAnsi"/>
                <w:szCs w:val="22"/>
              </w:rPr>
            </w:pPr>
            <w:r w:rsidRPr="008D561D">
              <w:rPr>
                <w:rFonts w:asciiTheme="minorHAnsi" w:hAnsiTheme="minorHAnsi"/>
                <w:szCs w:val="22"/>
              </w:rPr>
              <w:t>Serum</w:t>
            </w:r>
          </w:p>
        </w:tc>
      </w:tr>
      <w:tr w:rsidR="00BA2D6B" w:rsidRPr="00F23565" w14:paraId="60934AFB" w14:textId="77777777" w:rsidTr="00BA2D6B">
        <w:trPr>
          <w:gridBefore w:val="1"/>
          <w:wBefore w:w="284" w:type="dxa"/>
        </w:trPr>
        <w:tc>
          <w:tcPr>
            <w:tcW w:w="2835" w:type="dxa"/>
          </w:tcPr>
          <w:p w14:paraId="36C37561" w14:textId="77777777" w:rsidR="00BA2D6B" w:rsidRPr="00276E72" w:rsidRDefault="00BA2D6B" w:rsidP="004F3E2E">
            <w:pPr>
              <w:spacing w:line="360" w:lineRule="auto"/>
              <w:rPr>
                <w:b/>
                <w:sz w:val="24"/>
              </w:rPr>
            </w:pPr>
            <w:r w:rsidRPr="00276E72">
              <w:rPr>
                <w:b/>
                <w:sz w:val="24"/>
              </w:rPr>
              <w:t>Volume</w:t>
            </w:r>
          </w:p>
        </w:tc>
        <w:tc>
          <w:tcPr>
            <w:tcW w:w="283" w:type="dxa"/>
            <w:shd w:val="clear" w:color="auto" w:fill="auto"/>
          </w:tcPr>
          <w:p w14:paraId="037AE26F" w14:textId="77777777" w:rsidR="00BA2D6B" w:rsidRDefault="00BA2D6B" w:rsidP="004F3E2E">
            <w:pPr>
              <w:spacing w:line="360" w:lineRule="auto"/>
            </w:pPr>
          </w:p>
        </w:tc>
        <w:tc>
          <w:tcPr>
            <w:tcW w:w="7229" w:type="dxa"/>
          </w:tcPr>
          <w:p w14:paraId="1C4D67C9" w14:textId="77777777" w:rsidR="00BA2D6B" w:rsidRPr="0060596E" w:rsidRDefault="008D561D" w:rsidP="004F3E2E">
            <w:pPr>
              <w:spacing w:line="360" w:lineRule="auto"/>
              <w:rPr>
                <w:rFonts w:asciiTheme="minorHAnsi" w:hAnsiTheme="minorHAnsi"/>
                <w:szCs w:val="22"/>
              </w:rPr>
            </w:pPr>
            <w:r w:rsidRPr="008D561D">
              <w:rPr>
                <w:rFonts w:asciiTheme="minorHAnsi" w:hAnsiTheme="minorHAnsi"/>
                <w:szCs w:val="22"/>
              </w:rPr>
              <w:t>2 ml</w:t>
            </w:r>
          </w:p>
        </w:tc>
      </w:tr>
      <w:tr w:rsidR="00BA2D6B" w:rsidRPr="00F23565" w14:paraId="1383FFFC" w14:textId="77777777" w:rsidTr="00BA2D6B">
        <w:trPr>
          <w:gridBefore w:val="1"/>
          <w:wBefore w:w="284" w:type="dxa"/>
        </w:trPr>
        <w:tc>
          <w:tcPr>
            <w:tcW w:w="2835" w:type="dxa"/>
          </w:tcPr>
          <w:p w14:paraId="0DB06B89" w14:textId="77777777" w:rsidR="00BA2D6B" w:rsidRPr="00276E72" w:rsidRDefault="00BA2D6B" w:rsidP="004F3E2E">
            <w:pPr>
              <w:spacing w:line="360" w:lineRule="auto"/>
              <w:rPr>
                <w:b/>
                <w:sz w:val="24"/>
              </w:rPr>
            </w:pPr>
            <w:r w:rsidRPr="00276E72">
              <w:rPr>
                <w:b/>
                <w:sz w:val="24"/>
              </w:rPr>
              <w:t>Container</w:t>
            </w:r>
          </w:p>
        </w:tc>
        <w:tc>
          <w:tcPr>
            <w:tcW w:w="283" w:type="dxa"/>
            <w:shd w:val="clear" w:color="auto" w:fill="auto"/>
          </w:tcPr>
          <w:p w14:paraId="441A0CE8" w14:textId="77777777" w:rsidR="00BA2D6B" w:rsidRDefault="00BA2D6B" w:rsidP="004F3E2E">
            <w:pPr>
              <w:spacing w:line="360" w:lineRule="auto"/>
            </w:pPr>
          </w:p>
        </w:tc>
        <w:tc>
          <w:tcPr>
            <w:tcW w:w="7229" w:type="dxa"/>
          </w:tcPr>
          <w:p w14:paraId="366E0B94" w14:textId="77777777" w:rsidR="00386207" w:rsidRDefault="008D561D" w:rsidP="00386207">
            <w:pPr>
              <w:tabs>
                <w:tab w:val="left" w:pos="3705"/>
              </w:tabs>
              <w:autoSpaceDE w:val="0"/>
              <w:autoSpaceDN w:val="0"/>
              <w:adjustRightInd w:val="0"/>
              <w:spacing w:before="100" w:after="100" w:line="240" w:lineRule="auto"/>
              <w:rPr>
                <w:rFonts w:asciiTheme="minorHAnsi" w:hAnsiTheme="minorHAnsi"/>
                <w:szCs w:val="22"/>
                <w:lang w:eastAsia="en-GB"/>
              </w:rPr>
            </w:pPr>
            <w:r>
              <w:rPr>
                <w:rFonts w:asciiTheme="minorHAnsi" w:hAnsiTheme="minorHAnsi"/>
                <w:noProof/>
                <w:szCs w:val="22"/>
                <w:lang w:eastAsia="en-GB"/>
              </w:rPr>
              <w:drawing>
                <wp:inline distT="0" distB="0" distL="0" distR="0" wp14:anchorId="54EDE265" wp14:editId="4513213F">
                  <wp:extent cx="2762250" cy="4983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142" cy="503349"/>
                          </a:xfrm>
                          <a:prstGeom prst="rect">
                            <a:avLst/>
                          </a:prstGeom>
                          <a:noFill/>
                        </pic:spPr>
                      </pic:pic>
                    </a:graphicData>
                  </a:graphic>
                </wp:inline>
              </w:drawing>
            </w:r>
            <w:r>
              <w:rPr>
                <w:rFonts w:asciiTheme="minorHAnsi" w:hAnsiTheme="minorHAnsi"/>
                <w:szCs w:val="22"/>
                <w:lang w:eastAsia="en-GB"/>
              </w:rPr>
              <w:t xml:space="preserve"> </w:t>
            </w:r>
            <w:r w:rsidRPr="008D561D">
              <w:rPr>
                <w:rFonts w:asciiTheme="minorHAnsi" w:hAnsiTheme="minorHAnsi"/>
                <w:szCs w:val="22"/>
                <w:lang w:eastAsia="en-GB"/>
              </w:rPr>
              <w:t xml:space="preserve">Red </w:t>
            </w:r>
            <w:r w:rsidR="000132EF">
              <w:rPr>
                <w:rFonts w:asciiTheme="minorHAnsi" w:hAnsiTheme="minorHAnsi"/>
                <w:szCs w:val="22"/>
                <w:lang w:eastAsia="en-GB"/>
              </w:rPr>
              <w:t xml:space="preserve">top </w:t>
            </w:r>
            <w:r w:rsidRPr="008D561D">
              <w:rPr>
                <w:rFonts w:asciiTheme="minorHAnsi" w:hAnsiTheme="minorHAnsi"/>
                <w:szCs w:val="22"/>
                <w:lang w:eastAsia="en-GB"/>
              </w:rPr>
              <w:t>(</w:t>
            </w:r>
            <w:r w:rsidR="000132EF">
              <w:rPr>
                <w:rFonts w:asciiTheme="minorHAnsi" w:hAnsiTheme="minorHAnsi"/>
                <w:szCs w:val="22"/>
                <w:lang w:eastAsia="en-GB"/>
              </w:rPr>
              <w:t>serum</w:t>
            </w:r>
            <w:r w:rsidR="00E74E86">
              <w:rPr>
                <w:rFonts w:asciiTheme="minorHAnsi" w:hAnsiTheme="minorHAnsi"/>
                <w:szCs w:val="22"/>
                <w:lang w:eastAsia="en-GB"/>
              </w:rPr>
              <w:t>) tube or</w:t>
            </w:r>
          </w:p>
          <w:p w14:paraId="36BF0ACD" w14:textId="77777777" w:rsidR="00E74E86" w:rsidRDefault="00E74E86" w:rsidP="00E74E86">
            <w:pPr>
              <w:autoSpaceDE w:val="0"/>
              <w:autoSpaceDN w:val="0"/>
              <w:adjustRightInd w:val="0"/>
              <w:spacing w:before="100" w:after="100" w:line="240" w:lineRule="auto"/>
              <w:rPr>
                <w:rFonts w:asciiTheme="minorHAnsi" w:hAnsiTheme="minorHAnsi"/>
                <w:szCs w:val="22"/>
                <w:lang w:eastAsia="en-GB"/>
              </w:rPr>
            </w:pPr>
            <w:r>
              <w:rPr>
                <w:rFonts w:asciiTheme="minorHAnsi" w:hAnsiTheme="minorHAnsi"/>
                <w:noProof/>
                <w:szCs w:val="22"/>
                <w:lang w:eastAsia="en-GB"/>
              </w:rPr>
              <w:drawing>
                <wp:inline distT="0" distB="0" distL="0" distR="0" wp14:anchorId="09EF3E97" wp14:editId="3A40CC05">
                  <wp:extent cx="2238375" cy="4591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T.gif"/>
                          <pic:cNvPicPr/>
                        </pic:nvPicPr>
                        <pic:blipFill>
                          <a:blip r:embed="rId9">
                            <a:extLst>
                              <a:ext uri="{28A0092B-C50C-407E-A947-70E740481C1C}">
                                <a14:useLocalDpi xmlns:a14="http://schemas.microsoft.com/office/drawing/2010/main" val="0"/>
                              </a:ext>
                            </a:extLst>
                          </a:blip>
                          <a:stretch>
                            <a:fillRect/>
                          </a:stretch>
                        </pic:blipFill>
                        <pic:spPr>
                          <a:xfrm>
                            <a:off x="0" y="0"/>
                            <a:ext cx="2272699" cy="466195"/>
                          </a:xfrm>
                          <a:prstGeom prst="rect">
                            <a:avLst/>
                          </a:prstGeom>
                        </pic:spPr>
                      </pic:pic>
                    </a:graphicData>
                  </a:graphic>
                </wp:inline>
              </w:drawing>
            </w:r>
            <w:r>
              <w:rPr>
                <w:rFonts w:asciiTheme="minorHAnsi" w:hAnsiTheme="minorHAnsi"/>
                <w:szCs w:val="22"/>
                <w:lang w:eastAsia="en-GB"/>
              </w:rPr>
              <w:t xml:space="preserve"> </w:t>
            </w:r>
            <w:r w:rsidRPr="004A19B9">
              <w:rPr>
                <w:rFonts w:asciiTheme="minorHAnsi" w:hAnsiTheme="minorHAnsi"/>
                <w:szCs w:val="22"/>
                <w:lang w:eastAsia="en-GB"/>
              </w:rPr>
              <w:t>Yellow top (SST) tube</w:t>
            </w:r>
          </w:p>
          <w:p w14:paraId="5A0E32BD" w14:textId="77777777" w:rsidR="00E74E86" w:rsidRDefault="00E74E86" w:rsidP="00E74E86">
            <w:pPr>
              <w:autoSpaceDE w:val="0"/>
              <w:autoSpaceDN w:val="0"/>
              <w:adjustRightInd w:val="0"/>
              <w:spacing w:before="100" w:after="100" w:line="240" w:lineRule="auto"/>
              <w:rPr>
                <w:rFonts w:asciiTheme="minorHAnsi" w:hAnsiTheme="minorHAnsi"/>
                <w:szCs w:val="22"/>
                <w:lang w:eastAsia="en-GB"/>
              </w:rPr>
            </w:pPr>
            <w:r>
              <w:rPr>
                <w:rFonts w:asciiTheme="minorHAnsi" w:hAnsiTheme="minorHAnsi"/>
                <w:szCs w:val="22"/>
                <w:lang w:eastAsia="en-GB"/>
              </w:rPr>
              <w:t xml:space="preserve"> </w:t>
            </w:r>
            <w:r>
              <w:rPr>
                <w:noProof/>
                <w:lang w:eastAsia="en-GB"/>
              </w:rPr>
              <w:drawing>
                <wp:inline distT="0" distB="0" distL="0" distR="0" wp14:anchorId="62DFB940" wp14:editId="3BD2B97F">
                  <wp:extent cx="1104900"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04900" cy="304800"/>
                          </a:xfrm>
                          <a:prstGeom prst="rect">
                            <a:avLst/>
                          </a:prstGeom>
                        </pic:spPr>
                      </pic:pic>
                    </a:graphicData>
                  </a:graphic>
                </wp:inline>
              </w:drawing>
            </w:r>
            <w:r>
              <w:rPr>
                <w:rFonts w:asciiTheme="minorHAnsi" w:hAnsiTheme="minorHAnsi"/>
                <w:szCs w:val="22"/>
                <w:lang w:eastAsia="en-GB"/>
              </w:rPr>
              <w:t xml:space="preserve"> Paediatric lithium heparin (Orange top – </w:t>
            </w:r>
            <w:proofErr w:type="spellStart"/>
            <w:r>
              <w:rPr>
                <w:rFonts w:asciiTheme="minorHAnsi" w:hAnsiTheme="minorHAnsi"/>
                <w:szCs w:val="22"/>
                <w:lang w:eastAsia="en-GB"/>
              </w:rPr>
              <w:t>Sarstedt</w:t>
            </w:r>
            <w:proofErr w:type="spellEnd"/>
            <w:r>
              <w:rPr>
                <w:rFonts w:asciiTheme="minorHAnsi" w:hAnsiTheme="minorHAnsi"/>
                <w:szCs w:val="22"/>
                <w:lang w:eastAsia="en-GB"/>
              </w:rPr>
              <w:t xml:space="preserve"> tube)</w:t>
            </w:r>
          </w:p>
          <w:p w14:paraId="6DBD5573" w14:textId="77777777" w:rsidR="008D561D" w:rsidRPr="0060596E" w:rsidRDefault="000B0D92" w:rsidP="00E74E86">
            <w:pPr>
              <w:tabs>
                <w:tab w:val="left" w:pos="3705"/>
              </w:tabs>
              <w:autoSpaceDE w:val="0"/>
              <w:autoSpaceDN w:val="0"/>
              <w:adjustRightInd w:val="0"/>
              <w:spacing w:before="100" w:after="100" w:line="240" w:lineRule="auto"/>
              <w:rPr>
                <w:rFonts w:asciiTheme="minorHAnsi" w:hAnsiTheme="minorHAnsi"/>
                <w:szCs w:val="22"/>
                <w:lang w:eastAsia="en-GB"/>
              </w:rPr>
            </w:pPr>
            <w:r>
              <w:rPr>
                <w:noProof/>
                <w:lang w:eastAsia="en-GB"/>
              </w:rPr>
              <w:drawing>
                <wp:inline distT="0" distB="0" distL="0" distR="0" wp14:anchorId="1E231089" wp14:editId="423E119D">
                  <wp:extent cx="1078865" cy="361867"/>
                  <wp:effectExtent l="0" t="0" r="698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H_paed_red_top_serum.jpg"/>
                          <pic:cNvPicPr/>
                        </pic:nvPicPr>
                        <pic:blipFill>
                          <a:blip r:embed="rId11">
                            <a:extLst>
                              <a:ext uri="{28A0092B-C50C-407E-A947-70E740481C1C}">
                                <a14:useLocalDpi xmlns:a14="http://schemas.microsoft.com/office/drawing/2010/main" val="0"/>
                              </a:ext>
                            </a:extLst>
                          </a:blip>
                          <a:stretch>
                            <a:fillRect/>
                          </a:stretch>
                        </pic:blipFill>
                        <pic:spPr>
                          <a:xfrm>
                            <a:off x="0" y="0"/>
                            <a:ext cx="1094049" cy="366960"/>
                          </a:xfrm>
                          <a:prstGeom prst="rect">
                            <a:avLst/>
                          </a:prstGeom>
                        </pic:spPr>
                      </pic:pic>
                    </a:graphicData>
                  </a:graphic>
                </wp:inline>
              </w:drawing>
            </w:r>
            <w:r>
              <w:rPr>
                <w:rFonts w:asciiTheme="minorHAnsi" w:hAnsiTheme="minorHAnsi"/>
                <w:szCs w:val="22"/>
                <w:lang w:eastAsia="en-GB"/>
              </w:rPr>
              <w:t xml:space="preserve">Paediatric </w:t>
            </w:r>
            <w:r w:rsidR="00E74E86">
              <w:rPr>
                <w:rFonts w:asciiTheme="minorHAnsi" w:hAnsiTheme="minorHAnsi"/>
                <w:szCs w:val="22"/>
                <w:lang w:eastAsia="en-GB"/>
              </w:rPr>
              <w:t>plain tube (Red top – BD Microtainer)</w:t>
            </w:r>
          </w:p>
        </w:tc>
      </w:tr>
      <w:tr w:rsidR="00BA2D6B" w:rsidRPr="00F23565" w14:paraId="569360D0" w14:textId="77777777" w:rsidTr="00BA2D6B">
        <w:tc>
          <w:tcPr>
            <w:tcW w:w="3119" w:type="dxa"/>
            <w:gridSpan w:val="2"/>
            <w:shd w:val="clear" w:color="auto" w:fill="D9D9D9" w:themeFill="background1" w:themeFillShade="D9"/>
          </w:tcPr>
          <w:p w14:paraId="4A002CE7" w14:textId="77777777" w:rsidR="00BA2D6B" w:rsidRPr="00276E72" w:rsidRDefault="00BA2D6B" w:rsidP="004F3E2E">
            <w:pPr>
              <w:spacing w:line="360" w:lineRule="auto"/>
              <w:rPr>
                <w:b/>
                <w:sz w:val="24"/>
              </w:rPr>
            </w:pPr>
            <w:r>
              <w:rPr>
                <w:b/>
                <w:sz w:val="24"/>
              </w:rPr>
              <w:t>Reference R</w:t>
            </w:r>
            <w:r w:rsidRPr="00276E72">
              <w:rPr>
                <w:b/>
                <w:sz w:val="24"/>
              </w:rPr>
              <w:t xml:space="preserve">ange </w:t>
            </w:r>
            <w:r>
              <w:rPr>
                <w:b/>
                <w:sz w:val="24"/>
              </w:rPr>
              <w:t>&amp;</w:t>
            </w:r>
            <w:r w:rsidRPr="00276E72">
              <w:rPr>
                <w:b/>
                <w:sz w:val="24"/>
              </w:rPr>
              <w:t xml:space="preserve"> Units</w:t>
            </w:r>
          </w:p>
        </w:tc>
        <w:tc>
          <w:tcPr>
            <w:tcW w:w="283" w:type="dxa"/>
            <w:shd w:val="clear" w:color="auto" w:fill="auto"/>
          </w:tcPr>
          <w:p w14:paraId="03C78944" w14:textId="77777777" w:rsidR="00BA2D6B" w:rsidRDefault="00BA2D6B" w:rsidP="004F3E2E">
            <w:pPr>
              <w:spacing w:line="360" w:lineRule="auto"/>
            </w:pPr>
          </w:p>
        </w:tc>
        <w:tc>
          <w:tcPr>
            <w:tcW w:w="7229" w:type="dxa"/>
            <w:shd w:val="clear" w:color="auto" w:fill="D9D9D9" w:themeFill="background1" w:themeFillShade="D9"/>
          </w:tcPr>
          <w:p w14:paraId="18E9A609" w14:textId="77777777" w:rsidR="00BA2D6B" w:rsidRPr="0060596E" w:rsidRDefault="00166CFF" w:rsidP="00EE61A4">
            <w:pPr>
              <w:autoSpaceDE w:val="0"/>
              <w:autoSpaceDN w:val="0"/>
              <w:adjustRightInd w:val="0"/>
              <w:spacing w:before="100" w:after="100" w:line="240" w:lineRule="auto"/>
              <w:rPr>
                <w:rFonts w:asciiTheme="minorHAnsi" w:hAnsiTheme="minorHAnsi"/>
                <w:szCs w:val="22"/>
                <w:lang w:eastAsia="en-GB"/>
              </w:rPr>
            </w:pPr>
            <w:r>
              <w:rPr>
                <w:rFonts w:asciiTheme="minorHAnsi" w:hAnsiTheme="minorHAnsi"/>
                <w:szCs w:val="22"/>
                <w:lang w:eastAsia="en-GB"/>
              </w:rPr>
              <w:t>0.02 – 0.2 ug/L</w:t>
            </w:r>
          </w:p>
        </w:tc>
      </w:tr>
      <w:tr w:rsidR="00BA2D6B" w:rsidRPr="00F23565" w14:paraId="506E2256" w14:textId="77777777" w:rsidTr="00BA2D6B">
        <w:tc>
          <w:tcPr>
            <w:tcW w:w="3119" w:type="dxa"/>
            <w:gridSpan w:val="2"/>
          </w:tcPr>
          <w:p w14:paraId="6EF5F895" w14:textId="77777777" w:rsidR="00BA2D6B" w:rsidRPr="00276E72" w:rsidRDefault="00BA2D6B" w:rsidP="004F3E2E">
            <w:pPr>
              <w:spacing w:line="360" w:lineRule="auto"/>
              <w:rPr>
                <w:b/>
                <w:sz w:val="24"/>
              </w:rPr>
            </w:pPr>
            <w:r w:rsidRPr="00276E72">
              <w:rPr>
                <w:b/>
                <w:sz w:val="24"/>
              </w:rPr>
              <w:t>Interferences</w:t>
            </w:r>
          </w:p>
        </w:tc>
        <w:tc>
          <w:tcPr>
            <w:tcW w:w="283" w:type="dxa"/>
            <w:shd w:val="clear" w:color="auto" w:fill="auto"/>
          </w:tcPr>
          <w:p w14:paraId="6D4E50FB" w14:textId="77777777" w:rsidR="00BA2D6B" w:rsidRDefault="00BA2D6B" w:rsidP="004F3E2E">
            <w:pPr>
              <w:spacing w:line="360" w:lineRule="auto"/>
            </w:pPr>
          </w:p>
        </w:tc>
        <w:tc>
          <w:tcPr>
            <w:tcW w:w="7229" w:type="dxa"/>
          </w:tcPr>
          <w:p w14:paraId="708599E7" w14:textId="77777777" w:rsidR="00BA2D6B" w:rsidRPr="0060596E" w:rsidRDefault="00BA2D6B" w:rsidP="004F3E2E">
            <w:pPr>
              <w:spacing w:line="360" w:lineRule="auto"/>
              <w:rPr>
                <w:rFonts w:asciiTheme="minorHAnsi" w:hAnsiTheme="minorHAnsi"/>
                <w:szCs w:val="22"/>
              </w:rPr>
            </w:pPr>
          </w:p>
        </w:tc>
      </w:tr>
      <w:tr w:rsidR="00BA2D6B" w:rsidRPr="00F23565" w14:paraId="0C245909" w14:textId="77777777" w:rsidTr="00BA2D6B">
        <w:tc>
          <w:tcPr>
            <w:tcW w:w="3119" w:type="dxa"/>
            <w:gridSpan w:val="2"/>
            <w:shd w:val="clear" w:color="auto" w:fill="D9D9D9" w:themeFill="background1" w:themeFillShade="D9"/>
          </w:tcPr>
          <w:p w14:paraId="2C281AFB" w14:textId="77777777" w:rsidR="00BA2D6B" w:rsidRDefault="00BA2D6B" w:rsidP="004F3E2E">
            <w:pPr>
              <w:spacing w:line="360" w:lineRule="auto"/>
              <w:rPr>
                <w:b/>
                <w:sz w:val="24"/>
              </w:rPr>
            </w:pPr>
            <w:r w:rsidRPr="00276E72">
              <w:rPr>
                <w:b/>
                <w:sz w:val="24"/>
              </w:rPr>
              <w:t xml:space="preserve">Interpretation &amp; Clinical </w:t>
            </w:r>
          </w:p>
          <w:p w14:paraId="199FCB94" w14:textId="77777777" w:rsidR="00BA2D6B" w:rsidRPr="00276E72" w:rsidRDefault="00BA2D6B" w:rsidP="004F3E2E">
            <w:pPr>
              <w:spacing w:line="360" w:lineRule="auto"/>
              <w:rPr>
                <w:b/>
                <w:sz w:val="24"/>
              </w:rPr>
            </w:pPr>
            <w:r w:rsidRPr="00276E72">
              <w:rPr>
                <w:b/>
                <w:sz w:val="24"/>
              </w:rPr>
              <w:t>Decision Value (if applicable)</w:t>
            </w:r>
          </w:p>
        </w:tc>
        <w:tc>
          <w:tcPr>
            <w:tcW w:w="283" w:type="dxa"/>
            <w:shd w:val="clear" w:color="auto" w:fill="auto"/>
          </w:tcPr>
          <w:p w14:paraId="2251AFAE" w14:textId="77777777" w:rsidR="00BA2D6B" w:rsidRDefault="00BA2D6B" w:rsidP="004F3E2E">
            <w:pPr>
              <w:spacing w:line="360" w:lineRule="auto"/>
            </w:pPr>
          </w:p>
        </w:tc>
        <w:tc>
          <w:tcPr>
            <w:tcW w:w="7229" w:type="dxa"/>
            <w:shd w:val="clear" w:color="auto" w:fill="D9D9D9" w:themeFill="background1" w:themeFillShade="D9"/>
          </w:tcPr>
          <w:p w14:paraId="32CD618E" w14:textId="77777777" w:rsidR="00BA2D6B" w:rsidRPr="00166CFF" w:rsidRDefault="00166CFF" w:rsidP="00EE61A4">
            <w:pPr>
              <w:autoSpaceDE w:val="0"/>
              <w:autoSpaceDN w:val="0"/>
              <w:adjustRightInd w:val="0"/>
              <w:spacing w:before="100" w:after="100" w:line="240" w:lineRule="auto"/>
              <w:rPr>
                <w:rFonts w:asciiTheme="minorHAnsi" w:hAnsiTheme="minorHAnsi"/>
                <w:szCs w:val="22"/>
                <w:lang w:eastAsia="en-GB"/>
              </w:rPr>
            </w:pPr>
            <w:r w:rsidRPr="00166CFF">
              <w:rPr>
                <w:rFonts w:asciiTheme="minorHAnsi" w:hAnsiTheme="minorHAnsi"/>
                <w:szCs w:val="22"/>
                <w:lang w:eastAsia="en-GB"/>
              </w:rPr>
              <w:t>A value greater than 0.2 µg/L is indicative of advanced disease (Stages 3 and 4) with a Positive Predictive Value of approximately 90%. Rising values can be seen 1-2 months in advance of clinical feat</w:t>
            </w:r>
            <w:r>
              <w:rPr>
                <w:rFonts w:asciiTheme="minorHAnsi" w:hAnsiTheme="minorHAnsi"/>
                <w:szCs w:val="22"/>
                <w:lang w:eastAsia="en-GB"/>
              </w:rPr>
              <w:t>ures of metastatic disease. The</w:t>
            </w:r>
            <w:r w:rsidRPr="00166CFF">
              <w:rPr>
                <w:rFonts w:asciiTheme="minorHAnsi" w:hAnsiTheme="minorHAnsi"/>
                <w:szCs w:val="22"/>
                <w:lang w:eastAsia="en-GB"/>
              </w:rPr>
              <w:t xml:space="preserve"> </w:t>
            </w:r>
            <w:r w:rsidRPr="00166CFF">
              <w:rPr>
                <w:rFonts w:asciiTheme="minorHAnsi" w:hAnsiTheme="minorHAnsi"/>
                <w:szCs w:val="22"/>
                <w:lang w:eastAsia="en-GB"/>
              </w:rPr>
              <w:lastRenderedPageBreak/>
              <w:t xml:space="preserve">concentration of S100B has been shown to be related to tumour burden and gives an early indication of successful response to chemotherapy. Values that fail to fall after one month of chemotherapy indicate the tumour is insensitive to the </w:t>
            </w:r>
            <w:proofErr w:type="gramStart"/>
            <w:r w:rsidRPr="00166CFF">
              <w:rPr>
                <w:rFonts w:asciiTheme="minorHAnsi" w:hAnsiTheme="minorHAnsi"/>
                <w:szCs w:val="22"/>
                <w:lang w:eastAsia="en-GB"/>
              </w:rPr>
              <w:t>particular chemotherapy</w:t>
            </w:r>
            <w:proofErr w:type="gramEnd"/>
            <w:r w:rsidRPr="00166CFF">
              <w:rPr>
                <w:rFonts w:asciiTheme="minorHAnsi" w:hAnsiTheme="minorHAnsi"/>
                <w:szCs w:val="22"/>
                <w:lang w:eastAsia="en-GB"/>
              </w:rPr>
              <w:t xml:space="preserve"> regime.</w:t>
            </w:r>
            <w:r w:rsidRPr="00166CFF">
              <w:rPr>
                <w:rFonts w:ascii="Times New Roman" w:hAnsi="Times New Roman"/>
                <w:sz w:val="24"/>
                <w:szCs w:val="24"/>
                <w:lang w:eastAsia="en-GB"/>
              </w:rPr>
              <w:t xml:space="preserve"> </w:t>
            </w:r>
          </w:p>
        </w:tc>
      </w:tr>
      <w:tr w:rsidR="00BA2D6B" w:rsidRPr="00F23565" w14:paraId="0AE6AE1F" w14:textId="77777777" w:rsidTr="00BA2D6B">
        <w:tc>
          <w:tcPr>
            <w:tcW w:w="3119" w:type="dxa"/>
            <w:gridSpan w:val="2"/>
          </w:tcPr>
          <w:p w14:paraId="69785694" w14:textId="77777777" w:rsidR="00BA2D6B" w:rsidRPr="00276E72" w:rsidRDefault="00BA2D6B" w:rsidP="004F3E2E">
            <w:pPr>
              <w:spacing w:line="360" w:lineRule="auto"/>
              <w:rPr>
                <w:b/>
                <w:sz w:val="24"/>
              </w:rPr>
            </w:pPr>
            <w:r w:rsidRPr="00276E72">
              <w:rPr>
                <w:b/>
                <w:sz w:val="24"/>
              </w:rPr>
              <w:lastRenderedPageBreak/>
              <w:t>References</w:t>
            </w:r>
          </w:p>
        </w:tc>
        <w:tc>
          <w:tcPr>
            <w:tcW w:w="283" w:type="dxa"/>
            <w:shd w:val="clear" w:color="auto" w:fill="auto"/>
          </w:tcPr>
          <w:p w14:paraId="489E6154" w14:textId="77777777" w:rsidR="00BA2D6B" w:rsidRDefault="00BA2D6B" w:rsidP="004F3E2E">
            <w:pPr>
              <w:spacing w:line="360" w:lineRule="auto"/>
            </w:pPr>
          </w:p>
        </w:tc>
        <w:tc>
          <w:tcPr>
            <w:tcW w:w="7229" w:type="dxa"/>
          </w:tcPr>
          <w:p w14:paraId="7F08AD20" w14:textId="77777777" w:rsidR="00BA2D6B" w:rsidRPr="0060596E" w:rsidRDefault="00000000" w:rsidP="004F3E2E">
            <w:pPr>
              <w:spacing w:line="360" w:lineRule="auto"/>
              <w:rPr>
                <w:rFonts w:asciiTheme="minorHAnsi" w:hAnsiTheme="minorHAnsi"/>
                <w:szCs w:val="22"/>
              </w:rPr>
            </w:pPr>
            <w:hyperlink r:id="rId12" w:history="1">
              <w:r w:rsidR="00166CFF" w:rsidRPr="00E34330">
                <w:rPr>
                  <w:rStyle w:val="Hyperlink"/>
                  <w:rFonts w:asciiTheme="minorHAnsi" w:hAnsiTheme="minorHAnsi"/>
                  <w:szCs w:val="22"/>
                </w:rPr>
                <w:t>http://www.viapath.co.uk/our-tests/protein-s100b</w:t>
              </w:r>
            </w:hyperlink>
            <w:r w:rsidR="00166CFF">
              <w:rPr>
                <w:rFonts w:asciiTheme="minorHAnsi" w:hAnsiTheme="minorHAnsi"/>
                <w:szCs w:val="22"/>
              </w:rPr>
              <w:t xml:space="preserve"> </w:t>
            </w:r>
          </w:p>
        </w:tc>
      </w:tr>
      <w:tr w:rsidR="00BA2D6B" w:rsidRPr="00F23565" w14:paraId="70A6CDBB" w14:textId="77777777" w:rsidTr="00BA2D6B">
        <w:tc>
          <w:tcPr>
            <w:tcW w:w="3119" w:type="dxa"/>
            <w:gridSpan w:val="2"/>
            <w:shd w:val="clear" w:color="auto" w:fill="D9D9D9" w:themeFill="background1" w:themeFillShade="D9"/>
          </w:tcPr>
          <w:p w14:paraId="4EB29ABA" w14:textId="77777777" w:rsidR="00BA2D6B" w:rsidRPr="00276E72" w:rsidRDefault="00BA2D6B" w:rsidP="004F3E2E">
            <w:pPr>
              <w:spacing w:line="360" w:lineRule="auto"/>
              <w:rPr>
                <w:b/>
                <w:sz w:val="24"/>
              </w:rPr>
            </w:pPr>
            <w:r>
              <w:rPr>
                <w:b/>
                <w:sz w:val="24"/>
              </w:rPr>
              <w:t>Test code</w:t>
            </w:r>
          </w:p>
        </w:tc>
        <w:tc>
          <w:tcPr>
            <w:tcW w:w="283" w:type="dxa"/>
            <w:shd w:val="clear" w:color="auto" w:fill="auto"/>
          </w:tcPr>
          <w:p w14:paraId="34E6A5A4" w14:textId="77777777" w:rsidR="00BA2D6B" w:rsidRDefault="00BA2D6B" w:rsidP="004F3E2E">
            <w:pPr>
              <w:spacing w:line="360" w:lineRule="auto"/>
            </w:pPr>
          </w:p>
        </w:tc>
        <w:tc>
          <w:tcPr>
            <w:tcW w:w="7229" w:type="dxa"/>
            <w:shd w:val="clear" w:color="auto" w:fill="D9D9D9" w:themeFill="background1" w:themeFillShade="D9"/>
          </w:tcPr>
          <w:p w14:paraId="0F6D56C7" w14:textId="77777777" w:rsidR="00BA2D6B" w:rsidRPr="0060596E" w:rsidRDefault="00166CFF" w:rsidP="004F3E2E">
            <w:pPr>
              <w:spacing w:line="360" w:lineRule="auto"/>
              <w:rPr>
                <w:rFonts w:asciiTheme="minorHAnsi" w:hAnsiTheme="minorHAnsi"/>
                <w:szCs w:val="22"/>
              </w:rPr>
            </w:pPr>
            <w:r>
              <w:rPr>
                <w:rFonts w:asciiTheme="minorHAnsi" w:hAnsiTheme="minorHAnsi"/>
                <w:szCs w:val="22"/>
              </w:rPr>
              <w:t>S100</w:t>
            </w:r>
          </w:p>
        </w:tc>
      </w:tr>
      <w:tr w:rsidR="00EE61A4" w:rsidRPr="00F23565" w14:paraId="6434B37F" w14:textId="77777777" w:rsidTr="00EE61A4">
        <w:tc>
          <w:tcPr>
            <w:tcW w:w="3119" w:type="dxa"/>
            <w:gridSpan w:val="2"/>
            <w:shd w:val="clear" w:color="auto" w:fill="auto"/>
          </w:tcPr>
          <w:p w14:paraId="4A2F7D0A" w14:textId="77777777" w:rsidR="00EE61A4" w:rsidRDefault="00EE61A4" w:rsidP="004F3E2E">
            <w:pPr>
              <w:spacing w:line="360" w:lineRule="auto"/>
              <w:rPr>
                <w:b/>
                <w:sz w:val="24"/>
              </w:rPr>
            </w:pPr>
            <w:r>
              <w:rPr>
                <w:b/>
                <w:sz w:val="24"/>
              </w:rPr>
              <w:t>Lab Handling</w:t>
            </w:r>
          </w:p>
        </w:tc>
        <w:tc>
          <w:tcPr>
            <w:tcW w:w="283" w:type="dxa"/>
            <w:shd w:val="clear" w:color="auto" w:fill="auto"/>
          </w:tcPr>
          <w:p w14:paraId="1ADCB716" w14:textId="77777777" w:rsidR="00EE61A4" w:rsidRDefault="00EE61A4" w:rsidP="004F3E2E">
            <w:pPr>
              <w:spacing w:line="360" w:lineRule="auto"/>
            </w:pPr>
          </w:p>
        </w:tc>
        <w:tc>
          <w:tcPr>
            <w:tcW w:w="7229" w:type="dxa"/>
            <w:shd w:val="clear" w:color="auto" w:fill="auto"/>
          </w:tcPr>
          <w:p w14:paraId="2068814A" w14:textId="77777777" w:rsidR="00EE61A4" w:rsidRPr="0060596E" w:rsidRDefault="00166CFF" w:rsidP="000132EF">
            <w:pPr>
              <w:pStyle w:val="NoSpacing"/>
              <w:rPr>
                <w:rFonts w:asciiTheme="minorHAnsi" w:hAnsiTheme="minorHAnsi"/>
                <w:szCs w:val="22"/>
              </w:rPr>
            </w:pPr>
            <w:r>
              <w:rPr>
                <w:rFonts w:asciiTheme="minorHAnsi" w:hAnsiTheme="minorHAnsi"/>
                <w:szCs w:val="22"/>
                <w:lang w:eastAsia="en-GB"/>
              </w:rPr>
              <w:t xml:space="preserve">Aliquot 500ul and store in referrals rack at 4C. Sent daily by courier to King’s College, London. </w:t>
            </w:r>
            <w:r w:rsidRPr="00166CFF">
              <w:rPr>
                <w:rFonts w:asciiTheme="minorHAnsi" w:hAnsiTheme="minorHAnsi"/>
                <w:i/>
                <w:szCs w:val="22"/>
                <w:lang w:eastAsia="en-GB"/>
              </w:rPr>
              <w:t xml:space="preserve">If a sample is received on a Friday, please freeze at -20C over the weekend. </w:t>
            </w:r>
          </w:p>
        </w:tc>
      </w:tr>
    </w:tbl>
    <w:p w14:paraId="54D6F124" w14:textId="1DB7CCF6" w:rsidR="000319DA" w:rsidRPr="000319DA" w:rsidRDefault="000319DA" w:rsidP="00EE61A4">
      <w:pPr>
        <w:spacing w:line="360" w:lineRule="auto"/>
      </w:pPr>
    </w:p>
    <w:sectPr w:rsidR="000319DA" w:rsidRPr="000319DA" w:rsidSect="000319DA">
      <w:headerReference w:type="default" r:id="rId13"/>
      <w:footerReference w:type="default" r:id="rId14"/>
      <w:pgSz w:w="11907" w:h="16840" w:code="9"/>
      <w:pgMar w:top="1560" w:right="856" w:bottom="709" w:left="754" w:header="284" w:footer="299" w:gutter="0"/>
      <w:cols w:space="720"/>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DADD6" w14:textId="77777777" w:rsidR="003C6EE1" w:rsidRDefault="003C6EE1">
      <w:r>
        <w:separator/>
      </w:r>
    </w:p>
    <w:p w14:paraId="4BA2CDDF" w14:textId="77777777" w:rsidR="003C6EE1" w:rsidRDefault="003C6EE1"/>
    <w:p w14:paraId="3FC0C9C4" w14:textId="77777777" w:rsidR="003C6EE1" w:rsidRDefault="003C6EE1"/>
    <w:p w14:paraId="6209314D" w14:textId="77777777" w:rsidR="003C6EE1" w:rsidRDefault="003C6EE1"/>
    <w:p w14:paraId="15B553A8" w14:textId="77777777" w:rsidR="003C6EE1" w:rsidRDefault="003C6EE1"/>
    <w:p w14:paraId="68571118" w14:textId="77777777" w:rsidR="003C6EE1" w:rsidRDefault="003C6EE1"/>
    <w:p w14:paraId="6F37C758" w14:textId="77777777" w:rsidR="003C6EE1" w:rsidRDefault="003C6EE1"/>
    <w:p w14:paraId="49E75DF3" w14:textId="77777777" w:rsidR="003C6EE1" w:rsidRDefault="003C6EE1"/>
    <w:p w14:paraId="4C0C0B2B" w14:textId="77777777" w:rsidR="003C6EE1" w:rsidRDefault="003C6EE1"/>
  </w:endnote>
  <w:endnote w:type="continuationSeparator" w:id="0">
    <w:p w14:paraId="1D353E46" w14:textId="77777777" w:rsidR="003C6EE1" w:rsidRDefault="003C6EE1">
      <w:r>
        <w:continuationSeparator/>
      </w:r>
    </w:p>
    <w:p w14:paraId="1EA2C7EB" w14:textId="77777777" w:rsidR="003C6EE1" w:rsidRDefault="003C6EE1"/>
    <w:p w14:paraId="65DC3698" w14:textId="77777777" w:rsidR="003C6EE1" w:rsidRDefault="003C6EE1"/>
    <w:p w14:paraId="4C275636" w14:textId="77777777" w:rsidR="003C6EE1" w:rsidRDefault="003C6EE1"/>
    <w:p w14:paraId="1C232C29" w14:textId="77777777" w:rsidR="003C6EE1" w:rsidRDefault="003C6EE1"/>
    <w:p w14:paraId="0C61F2DF" w14:textId="77777777" w:rsidR="003C6EE1" w:rsidRDefault="003C6EE1"/>
    <w:p w14:paraId="24AEFD8D" w14:textId="77777777" w:rsidR="003C6EE1" w:rsidRDefault="003C6EE1"/>
    <w:p w14:paraId="6841C7F6" w14:textId="77777777" w:rsidR="003C6EE1" w:rsidRDefault="003C6EE1"/>
    <w:p w14:paraId="3EA11BFB" w14:textId="77777777" w:rsidR="003C6EE1" w:rsidRDefault="003C6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6A76" w14:textId="77777777" w:rsidR="00E74E86" w:rsidRPr="007825B1" w:rsidRDefault="00E74E86">
    <w:pPr>
      <w:pStyle w:val="Footer"/>
      <w:pBdr>
        <w:top w:val="single" w:sz="4" w:space="0" w:color="auto"/>
        <w:left w:val="single" w:sz="4" w:space="4" w:color="auto"/>
        <w:bottom w:val="single" w:sz="4" w:space="0" w:color="auto"/>
        <w:right w:val="single" w:sz="4" w:space="4" w:color="auto"/>
      </w:pBdr>
      <w:tabs>
        <w:tab w:val="clear" w:pos="8640"/>
        <w:tab w:val="right" w:pos="10270"/>
      </w:tabs>
      <w:rPr>
        <w:b/>
        <w:bCs/>
        <w:sz w:val="2"/>
        <w:szCs w:val="10"/>
      </w:rPr>
    </w:pPr>
  </w:p>
  <w:p w14:paraId="7137084E" w14:textId="7891943A" w:rsidR="00E74E86" w:rsidRPr="00276E72" w:rsidRDefault="00DE2D90">
    <w:pPr>
      <w:pStyle w:val="Footer"/>
      <w:pBdr>
        <w:top w:val="single" w:sz="4" w:space="0" w:color="auto"/>
        <w:left w:val="single" w:sz="4" w:space="4" w:color="auto"/>
        <w:bottom w:val="single" w:sz="4" w:space="0" w:color="auto"/>
        <w:right w:val="single" w:sz="4" w:space="4" w:color="auto"/>
      </w:pBdr>
      <w:tabs>
        <w:tab w:val="clear" w:pos="8640"/>
        <w:tab w:val="right" w:pos="10270"/>
      </w:tabs>
      <w:rPr>
        <w:b/>
        <w:bCs/>
        <w:sz w:val="16"/>
        <w:lang w:val="en-US"/>
      </w:rPr>
    </w:pPr>
    <w:r>
      <w:rPr>
        <w:b/>
        <w:bCs/>
        <w:sz w:val="16"/>
      </w:rPr>
      <w:t>Version 1.</w:t>
    </w:r>
    <w:r w:rsidR="004A40FF">
      <w:rPr>
        <w:b/>
        <w:bCs/>
        <w:sz w:val="16"/>
      </w:rPr>
      <w:t>3</w:t>
    </w:r>
    <w:r w:rsidR="00E74E86" w:rsidRPr="00276E72">
      <w:rPr>
        <w:b/>
        <w:bCs/>
        <w:sz w:val="16"/>
      </w:rPr>
      <w:t xml:space="preserve"> / </w:t>
    </w:r>
    <w:r w:rsidR="004A40FF">
      <w:rPr>
        <w:b/>
        <w:bCs/>
        <w:sz w:val="16"/>
      </w:rPr>
      <w:t>Sept</w:t>
    </w:r>
    <w:r>
      <w:rPr>
        <w:b/>
        <w:bCs/>
        <w:sz w:val="16"/>
      </w:rPr>
      <w:t>ember</w:t>
    </w:r>
    <w:r w:rsidR="00DB226D">
      <w:rPr>
        <w:b/>
        <w:bCs/>
        <w:sz w:val="16"/>
      </w:rPr>
      <w:t xml:space="preserve"> 202</w:t>
    </w:r>
    <w:r w:rsidR="004A40FF">
      <w:rPr>
        <w:b/>
        <w:bCs/>
        <w:sz w:val="16"/>
      </w:rPr>
      <w:t>3</w:t>
    </w:r>
    <w:r w:rsidR="00E74E86" w:rsidRPr="00276E72">
      <w:rPr>
        <w:b/>
        <w:bCs/>
        <w:sz w:val="16"/>
      </w:rPr>
      <w:ptab w:relativeTo="margin" w:alignment="center" w:leader="none"/>
    </w:r>
    <w:r w:rsidR="00E74E86" w:rsidRPr="00276E72">
      <w:rPr>
        <w:b/>
        <w:bCs/>
        <w:sz w:val="16"/>
      </w:rPr>
      <w:t xml:space="preserve">Approved by: </w:t>
    </w:r>
    <w:r w:rsidR="00E74E86">
      <w:rPr>
        <w:b/>
        <w:bCs/>
        <w:sz w:val="16"/>
      </w:rPr>
      <w:t>Consultant Biochemist</w:t>
    </w:r>
    <w:r w:rsidR="00E74E86" w:rsidRPr="00276E72">
      <w:rPr>
        <w:b/>
        <w:bCs/>
        <w:sz w:val="16"/>
      </w:rPr>
      <w:tab/>
    </w:r>
    <w:r w:rsidR="00E74E86" w:rsidRPr="00276E72">
      <w:rPr>
        <w:b/>
        <w:bCs/>
        <w:sz w:val="16"/>
        <w:lang w:val="en-US"/>
      </w:rPr>
      <w:t xml:space="preserve">Page </w:t>
    </w:r>
    <w:r w:rsidR="00E74E86" w:rsidRPr="00276E72">
      <w:rPr>
        <w:b/>
        <w:bCs/>
        <w:sz w:val="16"/>
        <w:lang w:val="en-US"/>
      </w:rPr>
      <w:fldChar w:fldCharType="begin"/>
    </w:r>
    <w:r w:rsidR="00E74E86" w:rsidRPr="00276E72">
      <w:rPr>
        <w:b/>
        <w:bCs/>
        <w:sz w:val="16"/>
        <w:lang w:val="en-US"/>
      </w:rPr>
      <w:instrText xml:space="preserve"> PAGE </w:instrText>
    </w:r>
    <w:r w:rsidR="00E74E86" w:rsidRPr="00276E72">
      <w:rPr>
        <w:b/>
        <w:bCs/>
        <w:sz w:val="16"/>
        <w:lang w:val="en-US"/>
      </w:rPr>
      <w:fldChar w:fldCharType="separate"/>
    </w:r>
    <w:r>
      <w:rPr>
        <w:b/>
        <w:bCs/>
        <w:noProof/>
        <w:sz w:val="16"/>
        <w:lang w:val="en-US"/>
      </w:rPr>
      <w:t>1</w:t>
    </w:r>
    <w:r w:rsidR="00E74E86" w:rsidRPr="00276E72">
      <w:rPr>
        <w:b/>
        <w:bCs/>
        <w:sz w:val="16"/>
        <w:lang w:val="en-US"/>
      </w:rPr>
      <w:fldChar w:fldCharType="end"/>
    </w:r>
    <w:r w:rsidR="00E74E86" w:rsidRPr="00276E72">
      <w:rPr>
        <w:b/>
        <w:bCs/>
        <w:sz w:val="16"/>
        <w:lang w:val="en-US"/>
      </w:rPr>
      <w:t xml:space="preserve"> of </w:t>
    </w:r>
    <w:r w:rsidR="00E74E86" w:rsidRPr="00276E72">
      <w:rPr>
        <w:b/>
        <w:bCs/>
        <w:sz w:val="16"/>
        <w:lang w:val="en-US"/>
      </w:rPr>
      <w:fldChar w:fldCharType="begin"/>
    </w:r>
    <w:r w:rsidR="00E74E86" w:rsidRPr="00276E72">
      <w:rPr>
        <w:b/>
        <w:bCs/>
        <w:sz w:val="16"/>
        <w:lang w:val="en-US"/>
      </w:rPr>
      <w:instrText xml:space="preserve"> NUMPAGES </w:instrText>
    </w:r>
    <w:r w:rsidR="00E74E86" w:rsidRPr="00276E72">
      <w:rPr>
        <w:b/>
        <w:bCs/>
        <w:sz w:val="16"/>
        <w:lang w:val="en-US"/>
      </w:rPr>
      <w:fldChar w:fldCharType="separate"/>
    </w:r>
    <w:r>
      <w:rPr>
        <w:b/>
        <w:bCs/>
        <w:noProof/>
        <w:sz w:val="16"/>
        <w:lang w:val="en-US"/>
      </w:rPr>
      <w:t>2</w:t>
    </w:r>
    <w:r w:rsidR="00E74E86" w:rsidRPr="00276E72">
      <w:rPr>
        <w:b/>
        <w:bCs/>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22AFD" w14:textId="77777777" w:rsidR="003C6EE1" w:rsidRDefault="003C6EE1">
      <w:r>
        <w:separator/>
      </w:r>
    </w:p>
    <w:p w14:paraId="48C82BAA" w14:textId="77777777" w:rsidR="003C6EE1" w:rsidRDefault="003C6EE1"/>
    <w:p w14:paraId="423FE70F" w14:textId="77777777" w:rsidR="003C6EE1" w:rsidRDefault="003C6EE1"/>
    <w:p w14:paraId="288FFD2C" w14:textId="77777777" w:rsidR="003C6EE1" w:rsidRDefault="003C6EE1"/>
    <w:p w14:paraId="36F048D7" w14:textId="77777777" w:rsidR="003C6EE1" w:rsidRDefault="003C6EE1"/>
    <w:p w14:paraId="3B27415D" w14:textId="77777777" w:rsidR="003C6EE1" w:rsidRDefault="003C6EE1"/>
    <w:p w14:paraId="6C035DC8" w14:textId="77777777" w:rsidR="003C6EE1" w:rsidRDefault="003C6EE1"/>
    <w:p w14:paraId="5831A90E" w14:textId="77777777" w:rsidR="003C6EE1" w:rsidRDefault="003C6EE1"/>
    <w:p w14:paraId="042F7168" w14:textId="77777777" w:rsidR="003C6EE1" w:rsidRDefault="003C6EE1"/>
  </w:footnote>
  <w:footnote w:type="continuationSeparator" w:id="0">
    <w:p w14:paraId="434231C8" w14:textId="77777777" w:rsidR="003C6EE1" w:rsidRDefault="003C6EE1">
      <w:r>
        <w:continuationSeparator/>
      </w:r>
    </w:p>
    <w:p w14:paraId="5D7CA02B" w14:textId="77777777" w:rsidR="003C6EE1" w:rsidRDefault="003C6EE1"/>
    <w:p w14:paraId="11197BA6" w14:textId="77777777" w:rsidR="003C6EE1" w:rsidRDefault="003C6EE1"/>
    <w:p w14:paraId="19A9439B" w14:textId="77777777" w:rsidR="003C6EE1" w:rsidRDefault="003C6EE1"/>
    <w:p w14:paraId="0D9362E9" w14:textId="77777777" w:rsidR="003C6EE1" w:rsidRDefault="003C6EE1"/>
    <w:p w14:paraId="6A4630B3" w14:textId="77777777" w:rsidR="003C6EE1" w:rsidRDefault="003C6EE1"/>
    <w:p w14:paraId="21C73BBD" w14:textId="77777777" w:rsidR="003C6EE1" w:rsidRDefault="003C6EE1"/>
    <w:p w14:paraId="734B8D09" w14:textId="77777777" w:rsidR="003C6EE1" w:rsidRDefault="003C6EE1"/>
    <w:p w14:paraId="346E8822" w14:textId="77777777" w:rsidR="003C6EE1" w:rsidRDefault="003C6E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D18D" w14:textId="39AF4EFA" w:rsidR="00E74E86" w:rsidRDefault="004A40FF">
    <w:pPr>
      <w:pStyle w:val="Header"/>
    </w:pPr>
    <w:r>
      <w:rPr>
        <w:noProof/>
        <w:lang w:eastAsia="en-GB"/>
      </w:rPr>
      <w:drawing>
        <wp:anchor distT="0" distB="0" distL="114300" distR="114300" simplePos="0" relativeHeight="251658240" behindDoc="0" locked="0" layoutInCell="1" allowOverlap="1" wp14:anchorId="2452F863" wp14:editId="4F0F1CDB">
          <wp:simplePos x="0" y="0"/>
          <wp:positionH relativeFrom="margin">
            <wp:posOffset>4972440</wp:posOffset>
          </wp:positionH>
          <wp:positionV relativeFrom="paragraph">
            <wp:posOffset>79912</wp:posOffset>
          </wp:positionV>
          <wp:extent cx="1424337" cy="478302"/>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0509" cy="480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3CF7CC" w14:textId="6184AB5F" w:rsidR="00E74E86" w:rsidRDefault="00E74E86">
    <w:pPr>
      <w:pStyle w:val="Header"/>
    </w:pPr>
  </w:p>
  <w:p w14:paraId="29FB2454" w14:textId="77777777" w:rsidR="00E74E86" w:rsidRDefault="00E74E86">
    <w:pPr>
      <w:pStyle w:val="Header"/>
    </w:pPr>
  </w:p>
  <w:p w14:paraId="22AD6E7A" w14:textId="77777777" w:rsidR="00E74E86" w:rsidRDefault="00E74E86" w:rsidP="007825B1">
    <w:pPr>
      <w:pStyle w:val="Header"/>
      <w:jc w:val="right"/>
      <w:rPr>
        <w:sz w:val="14"/>
        <w:szCs w:val="14"/>
      </w:rPr>
    </w:pPr>
  </w:p>
  <w:p w14:paraId="72740E7E" w14:textId="77777777" w:rsidR="00E74E86" w:rsidRPr="00276E72" w:rsidRDefault="00E74E86" w:rsidP="007825B1">
    <w:pPr>
      <w:pStyle w:val="Header"/>
      <w:jc w:val="right"/>
      <w:rPr>
        <w:b/>
        <w:sz w:val="16"/>
        <w:szCs w:val="14"/>
      </w:rPr>
    </w:pPr>
    <w:r>
      <w:rPr>
        <w:b/>
        <w:sz w:val="16"/>
        <w:szCs w:val="14"/>
      </w:rPr>
      <w:t>PF-PTD-265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DE0"/>
    <w:multiLevelType w:val="multilevel"/>
    <w:tmpl w:val="E3607A9A"/>
    <w:numStyleLink w:val="Numbering-2ndLevel"/>
  </w:abstractNum>
  <w:abstractNum w:abstractNumId="1" w15:restartNumberingAfterBreak="0">
    <w:nsid w:val="052101BA"/>
    <w:multiLevelType w:val="multilevel"/>
    <w:tmpl w:val="E3607A9A"/>
    <w:styleLink w:val="Numbering-2ndLevel"/>
    <w:lvl w:ilvl="0">
      <w:start w:val="1"/>
      <w:numFmt w:val="decimal"/>
      <w:lvlText w:val="%1"/>
      <w:lvlJc w:val="left"/>
      <w:pPr>
        <w:tabs>
          <w:tab w:val="num" w:pos="720"/>
        </w:tabs>
        <w:ind w:left="720" w:hanging="720"/>
      </w:pPr>
      <w:rPr>
        <w:rFonts w:ascii="Arial" w:hAnsi="Arial" w:hint="default"/>
        <w:sz w:val="24"/>
      </w:rPr>
    </w:lvl>
    <w:lvl w:ilvl="1">
      <w:start w:val="1"/>
      <w:numFmt w:val="decimal"/>
      <w:lvlText w:val="%1.%2"/>
      <w:lvlJc w:val="left"/>
      <w:pPr>
        <w:tabs>
          <w:tab w:val="num" w:pos="728"/>
        </w:tabs>
        <w:ind w:left="1448" w:hanging="720"/>
      </w:pPr>
      <w:rPr>
        <w:rFonts w:ascii="Arial" w:hAnsi="Arial"/>
        <w:b/>
        <w:bCs/>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8C306C7"/>
    <w:multiLevelType w:val="multilevel"/>
    <w:tmpl w:val="CF488D3C"/>
    <w:styleLink w:val="Numbering-Main"/>
    <w:lvl w:ilvl="0">
      <w:start w:val="1"/>
      <w:numFmt w:val="decimal"/>
      <w:lvlText w:val="%1."/>
      <w:lvlJc w:val="left"/>
      <w:pPr>
        <w:tabs>
          <w:tab w:val="num" w:pos="360"/>
        </w:tabs>
        <w:ind w:left="360" w:hanging="360"/>
      </w:pPr>
      <w:rPr>
        <w:b/>
        <w:sz w:val="24"/>
      </w:rPr>
    </w:lvl>
    <w:lvl w:ilvl="1">
      <w:start w:val="2"/>
      <w:numFmt w:val="decimal"/>
      <w:isLgl/>
      <w:lvlText w:val="%1.%2"/>
      <w:lvlJc w:val="left"/>
      <w:pPr>
        <w:tabs>
          <w:tab w:val="num" w:pos="420"/>
        </w:tabs>
        <w:ind w:left="420" w:hanging="360"/>
      </w:pPr>
      <w:rPr>
        <w:rFonts w:hint="default"/>
      </w:rPr>
    </w:lvl>
    <w:lvl w:ilvl="2">
      <w:start w:val="1"/>
      <w:numFmt w:val="decimal"/>
      <w:isLgl/>
      <w:lvlText w:val="%1.%2.%3"/>
      <w:lvlJc w:val="left"/>
      <w:pPr>
        <w:tabs>
          <w:tab w:val="num" w:pos="1318"/>
        </w:tabs>
        <w:ind w:left="1318"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380"/>
        </w:tabs>
        <w:ind w:left="138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80"/>
        </w:tabs>
        <w:ind w:left="2280" w:hanging="1800"/>
      </w:pPr>
      <w:rPr>
        <w:rFonts w:hint="default"/>
      </w:rPr>
    </w:lvl>
  </w:abstractNum>
  <w:abstractNum w:abstractNumId="3" w15:restartNumberingAfterBreak="0">
    <w:nsid w:val="36644BBE"/>
    <w:multiLevelType w:val="multilevel"/>
    <w:tmpl w:val="CF488D3C"/>
    <w:numStyleLink w:val="Numbering-Main"/>
  </w:abstractNum>
  <w:abstractNum w:abstractNumId="4" w15:restartNumberingAfterBreak="0">
    <w:nsid w:val="563E5BAA"/>
    <w:multiLevelType w:val="multilevel"/>
    <w:tmpl w:val="1B40E89A"/>
    <w:lvl w:ilvl="0">
      <w:start w:val="1"/>
      <w:numFmt w:val="bullet"/>
      <w:lvlText w:val=""/>
      <w:lvlJc w:val="left"/>
      <w:pPr>
        <w:tabs>
          <w:tab w:val="num" w:pos="1800"/>
        </w:tabs>
        <w:ind w:left="108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860047"/>
    <w:multiLevelType w:val="multilevel"/>
    <w:tmpl w:val="972CF1C8"/>
    <w:styleLink w:val="StyleBulleted"/>
    <w:lvl w:ilvl="0">
      <w:start w:val="1"/>
      <w:numFmt w:val="bullet"/>
      <w:lvlText w:val=""/>
      <w:lvlJc w:val="left"/>
      <w:pPr>
        <w:tabs>
          <w:tab w:val="num" w:pos="1474"/>
        </w:tabs>
        <w:ind w:left="964" w:hanging="624"/>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58509126">
    <w:abstractNumId w:val="3"/>
  </w:num>
  <w:num w:numId="2" w16cid:durableId="1673416257">
    <w:abstractNumId w:val="2"/>
  </w:num>
  <w:num w:numId="3" w16cid:durableId="1244493735">
    <w:abstractNumId w:val="1"/>
  </w:num>
  <w:num w:numId="4" w16cid:durableId="383065068">
    <w:abstractNumId w:val="0"/>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728"/>
          </w:tabs>
          <w:ind w:left="1448" w:hanging="720"/>
        </w:pPr>
        <w:rPr>
          <w:rFonts w:ascii="Arial" w:hAnsi="Arial"/>
          <w:b/>
          <w:bCs/>
          <w:sz w:val="24"/>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5" w16cid:durableId="1775130731">
    <w:abstractNumId w:val="4"/>
  </w:num>
  <w:num w:numId="6" w16cid:durableId="140005450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71"/>
  <w:displayHorizontalDrawingGridEvery w:val="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61D"/>
    <w:rsid w:val="000132EF"/>
    <w:rsid w:val="000179B3"/>
    <w:rsid w:val="00020BD4"/>
    <w:rsid w:val="000243C1"/>
    <w:rsid w:val="0002557F"/>
    <w:rsid w:val="000319DA"/>
    <w:rsid w:val="00031CF3"/>
    <w:rsid w:val="00051A93"/>
    <w:rsid w:val="00093E60"/>
    <w:rsid w:val="000A0B79"/>
    <w:rsid w:val="000B0741"/>
    <w:rsid w:val="000B0D92"/>
    <w:rsid w:val="000B2B1F"/>
    <w:rsid w:val="000B6041"/>
    <w:rsid w:val="000D4ACB"/>
    <w:rsid w:val="001019CE"/>
    <w:rsid w:val="00110081"/>
    <w:rsid w:val="00142C02"/>
    <w:rsid w:val="00143405"/>
    <w:rsid w:val="0014577D"/>
    <w:rsid w:val="001524D3"/>
    <w:rsid w:val="00165531"/>
    <w:rsid w:val="00166CFF"/>
    <w:rsid w:val="001A192D"/>
    <w:rsid w:val="001A3B8C"/>
    <w:rsid w:val="001B38FF"/>
    <w:rsid w:val="001C3A05"/>
    <w:rsid w:val="001C64B0"/>
    <w:rsid w:val="001C7ACD"/>
    <w:rsid w:val="001E737A"/>
    <w:rsid w:val="00200287"/>
    <w:rsid w:val="00213A85"/>
    <w:rsid w:val="002334DE"/>
    <w:rsid w:val="00233CC3"/>
    <w:rsid w:val="00241B5E"/>
    <w:rsid w:val="00250845"/>
    <w:rsid w:val="00252513"/>
    <w:rsid w:val="00276E72"/>
    <w:rsid w:val="00280D13"/>
    <w:rsid w:val="0029197D"/>
    <w:rsid w:val="002A52E6"/>
    <w:rsid w:val="002D4953"/>
    <w:rsid w:val="002F2660"/>
    <w:rsid w:val="0030270A"/>
    <w:rsid w:val="003036FA"/>
    <w:rsid w:val="0030417D"/>
    <w:rsid w:val="0033595A"/>
    <w:rsid w:val="003371FF"/>
    <w:rsid w:val="00363775"/>
    <w:rsid w:val="00367EB8"/>
    <w:rsid w:val="00370B73"/>
    <w:rsid w:val="00373ACB"/>
    <w:rsid w:val="003840AF"/>
    <w:rsid w:val="00386207"/>
    <w:rsid w:val="003A52BD"/>
    <w:rsid w:val="003C6EE1"/>
    <w:rsid w:val="003D6C00"/>
    <w:rsid w:val="003E05C3"/>
    <w:rsid w:val="003F6428"/>
    <w:rsid w:val="003F644E"/>
    <w:rsid w:val="00410ABF"/>
    <w:rsid w:val="0041586F"/>
    <w:rsid w:val="0041597C"/>
    <w:rsid w:val="00423758"/>
    <w:rsid w:val="00426C78"/>
    <w:rsid w:val="00427A2F"/>
    <w:rsid w:val="0044325B"/>
    <w:rsid w:val="00473B09"/>
    <w:rsid w:val="00475BA0"/>
    <w:rsid w:val="0048376D"/>
    <w:rsid w:val="0049210F"/>
    <w:rsid w:val="00494CC5"/>
    <w:rsid w:val="004A40FF"/>
    <w:rsid w:val="004D07C8"/>
    <w:rsid w:val="004D304C"/>
    <w:rsid w:val="004E481B"/>
    <w:rsid w:val="004F3027"/>
    <w:rsid w:val="004F3E2E"/>
    <w:rsid w:val="004F5E94"/>
    <w:rsid w:val="00501C60"/>
    <w:rsid w:val="00504AC8"/>
    <w:rsid w:val="00512E60"/>
    <w:rsid w:val="0053496A"/>
    <w:rsid w:val="005374CD"/>
    <w:rsid w:val="00545D5C"/>
    <w:rsid w:val="0054742D"/>
    <w:rsid w:val="00552AB8"/>
    <w:rsid w:val="00555982"/>
    <w:rsid w:val="0057795B"/>
    <w:rsid w:val="0059753C"/>
    <w:rsid w:val="005A32CD"/>
    <w:rsid w:val="005A7813"/>
    <w:rsid w:val="005B6FE9"/>
    <w:rsid w:val="005C36CC"/>
    <w:rsid w:val="005F0E4D"/>
    <w:rsid w:val="00601E6A"/>
    <w:rsid w:val="00601F7D"/>
    <w:rsid w:val="0060596E"/>
    <w:rsid w:val="00605B72"/>
    <w:rsid w:val="00606970"/>
    <w:rsid w:val="00614FDA"/>
    <w:rsid w:val="00620713"/>
    <w:rsid w:val="006258E1"/>
    <w:rsid w:val="00634B46"/>
    <w:rsid w:val="006355A1"/>
    <w:rsid w:val="006526F9"/>
    <w:rsid w:val="00680B7A"/>
    <w:rsid w:val="006953C8"/>
    <w:rsid w:val="006A0229"/>
    <w:rsid w:val="006B1129"/>
    <w:rsid w:val="006C0968"/>
    <w:rsid w:val="006C27F8"/>
    <w:rsid w:val="006D5410"/>
    <w:rsid w:val="006E029A"/>
    <w:rsid w:val="006E034F"/>
    <w:rsid w:val="006E4CA7"/>
    <w:rsid w:val="006E690F"/>
    <w:rsid w:val="006F33F6"/>
    <w:rsid w:val="00715F32"/>
    <w:rsid w:val="00722436"/>
    <w:rsid w:val="007301C5"/>
    <w:rsid w:val="00732555"/>
    <w:rsid w:val="0073291F"/>
    <w:rsid w:val="00755A82"/>
    <w:rsid w:val="00757FB0"/>
    <w:rsid w:val="00761A5F"/>
    <w:rsid w:val="00765D50"/>
    <w:rsid w:val="007825B1"/>
    <w:rsid w:val="00782FD5"/>
    <w:rsid w:val="007C17F2"/>
    <w:rsid w:val="007E4EAA"/>
    <w:rsid w:val="007E57E7"/>
    <w:rsid w:val="007E5EAC"/>
    <w:rsid w:val="007F0870"/>
    <w:rsid w:val="007F4369"/>
    <w:rsid w:val="008065F7"/>
    <w:rsid w:val="008207F8"/>
    <w:rsid w:val="00833508"/>
    <w:rsid w:val="00845B7D"/>
    <w:rsid w:val="00853B27"/>
    <w:rsid w:val="0087739A"/>
    <w:rsid w:val="008801A5"/>
    <w:rsid w:val="00886BFD"/>
    <w:rsid w:val="00891DBE"/>
    <w:rsid w:val="008B5D0A"/>
    <w:rsid w:val="008C4CC6"/>
    <w:rsid w:val="008C6F9E"/>
    <w:rsid w:val="008D561D"/>
    <w:rsid w:val="008E0A02"/>
    <w:rsid w:val="008E102A"/>
    <w:rsid w:val="008E4DE2"/>
    <w:rsid w:val="008F12AD"/>
    <w:rsid w:val="00914118"/>
    <w:rsid w:val="00922766"/>
    <w:rsid w:val="009255AD"/>
    <w:rsid w:val="00951DF8"/>
    <w:rsid w:val="00970680"/>
    <w:rsid w:val="0097149C"/>
    <w:rsid w:val="009A6881"/>
    <w:rsid w:val="009A76AF"/>
    <w:rsid w:val="009B2D06"/>
    <w:rsid w:val="009B6924"/>
    <w:rsid w:val="009B6E23"/>
    <w:rsid w:val="009D4893"/>
    <w:rsid w:val="009E1DFB"/>
    <w:rsid w:val="009F0B13"/>
    <w:rsid w:val="00A12E22"/>
    <w:rsid w:val="00A22D4E"/>
    <w:rsid w:val="00A42096"/>
    <w:rsid w:val="00A50F38"/>
    <w:rsid w:val="00A6576B"/>
    <w:rsid w:val="00A70983"/>
    <w:rsid w:val="00A9048F"/>
    <w:rsid w:val="00AB7923"/>
    <w:rsid w:val="00AE023A"/>
    <w:rsid w:val="00AE0D3C"/>
    <w:rsid w:val="00AE4225"/>
    <w:rsid w:val="00AE4EF9"/>
    <w:rsid w:val="00AF5D38"/>
    <w:rsid w:val="00AF7E21"/>
    <w:rsid w:val="00B001E0"/>
    <w:rsid w:val="00B03F45"/>
    <w:rsid w:val="00B04F31"/>
    <w:rsid w:val="00B34F39"/>
    <w:rsid w:val="00B42D94"/>
    <w:rsid w:val="00BA2D6B"/>
    <w:rsid w:val="00BC7AC6"/>
    <w:rsid w:val="00C07872"/>
    <w:rsid w:val="00C41AE9"/>
    <w:rsid w:val="00C42234"/>
    <w:rsid w:val="00C536BA"/>
    <w:rsid w:val="00C84BDB"/>
    <w:rsid w:val="00C93E4D"/>
    <w:rsid w:val="00CB3B8D"/>
    <w:rsid w:val="00CB5587"/>
    <w:rsid w:val="00CC4B0C"/>
    <w:rsid w:val="00CD32BA"/>
    <w:rsid w:val="00CD78D1"/>
    <w:rsid w:val="00CE5A2D"/>
    <w:rsid w:val="00D00EC6"/>
    <w:rsid w:val="00D02F0C"/>
    <w:rsid w:val="00D43011"/>
    <w:rsid w:val="00D620E0"/>
    <w:rsid w:val="00D80EDE"/>
    <w:rsid w:val="00D838B4"/>
    <w:rsid w:val="00D860B6"/>
    <w:rsid w:val="00D8686A"/>
    <w:rsid w:val="00D868D1"/>
    <w:rsid w:val="00DA5507"/>
    <w:rsid w:val="00DB226D"/>
    <w:rsid w:val="00DB7E33"/>
    <w:rsid w:val="00DC2055"/>
    <w:rsid w:val="00DC69BA"/>
    <w:rsid w:val="00DC7DFF"/>
    <w:rsid w:val="00DD171F"/>
    <w:rsid w:val="00DE2D90"/>
    <w:rsid w:val="00E00E41"/>
    <w:rsid w:val="00E05F0A"/>
    <w:rsid w:val="00E100D2"/>
    <w:rsid w:val="00E14180"/>
    <w:rsid w:val="00E245D5"/>
    <w:rsid w:val="00E33E5B"/>
    <w:rsid w:val="00E33F9F"/>
    <w:rsid w:val="00E4466E"/>
    <w:rsid w:val="00E472D8"/>
    <w:rsid w:val="00E57FD2"/>
    <w:rsid w:val="00E74E86"/>
    <w:rsid w:val="00E769B4"/>
    <w:rsid w:val="00EB1F4D"/>
    <w:rsid w:val="00ED1271"/>
    <w:rsid w:val="00ED5B30"/>
    <w:rsid w:val="00EE221B"/>
    <w:rsid w:val="00EE61A4"/>
    <w:rsid w:val="00F01E8F"/>
    <w:rsid w:val="00F11998"/>
    <w:rsid w:val="00F129B1"/>
    <w:rsid w:val="00F16CFD"/>
    <w:rsid w:val="00F23565"/>
    <w:rsid w:val="00F27F84"/>
    <w:rsid w:val="00F35A83"/>
    <w:rsid w:val="00F44150"/>
    <w:rsid w:val="00F63878"/>
    <w:rsid w:val="00F720B6"/>
    <w:rsid w:val="00F8688C"/>
    <w:rsid w:val="00F94A3E"/>
    <w:rsid w:val="00F96159"/>
    <w:rsid w:val="00FA117B"/>
    <w:rsid w:val="00FA1752"/>
    <w:rsid w:val="00FB2652"/>
    <w:rsid w:val="00FB72A5"/>
    <w:rsid w:val="00FC3B47"/>
    <w:rsid w:val="00FE4F5B"/>
    <w:rsid w:val="00FE6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C8D6C61"/>
  <w15:chartTrackingRefBased/>
  <w15:docId w15:val="{D66825BA-194F-4DB5-9A31-0A0A38E4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9B1"/>
    <w:pPr>
      <w:spacing w:line="276" w:lineRule="auto"/>
    </w:pPr>
    <w:rPr>
      <w:rFonts w:ascii="Calibri" w:hAnsi="Calibri"/>
      <w:sz w:val="22"/>
      <w:lang w:eastAsia="en-US"/>
    </w:rPr>
  </w:style>
  <w:style w:type="paragraph" w:styleId="Heading1">
    <w:name w:val="heading 1"/>
    <w:basedOn w:val="Normal"/>
    <w:next w:val="Normal"/>
    <w:qFormat/>
    <w:rsid w:val="00410ABF"/>
    <w:pPr>
      <w:keepNext/>
      <w:spacing w:before="240" w:after="60"/>
      <w:outlineLvl w:val="0"/>
    </w:pPr>
    <w:rPr>
      <w:b/>
      <w:iCs/>
      <w:caps/>
      <w:kern w:val="28"/>
      <w:sz w:val="28"/>
      <w:lang w:val="en-US"/>
    </w:rPr>
  </w:style>
  <w:style w:type="paragraph" w:styleId="Heading2">
    <w:name w:val="heading 2"/>
    <w:basedOn w:val="Normal"/>
    <w:next w:val="Normal"/>
    <w:qFormat/>
    <w:pPr>
      <w:keepNext/>
      <w:spacing w:before="240" w:after="60"/>
      <w:outlineLvl w:val="1"/>
    </w:pPr>
    <w:rPr>
      <w:rFonts w:cs="Arial"/>
      <w:b/>
      <w:bCs/>
      <w:sz w:val="24"/>
      <w:szCs w:val="28"/>
      <w:lang w:val="en-US"/>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Footer"/>
    <w:next w:val="Normal"/>
    <w:link w:val="Heading4Char"/>
    <w:qFormat/>
    <w:rsid w:val="00A9048F"/>
    <w:pPr>
      <w:jc w:val="center"/>
      <w:outlineLvl w:val="3"/>
    </w:pPr>
    <w:rPr>
      <w:b/>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ahoma"/>
    </w:rPr>
  </w:style>
  <w:style w:type="paragraph" w:styleId="Footer">
    <w:name w:val="footer"/>
    <w:basedOn w:val="Normal"/>
    <w:link w:val="FooterChar"/>
    <w:pPr>
      <w:tabs>
        <w:tab w:val="center" w:pos="4320"/>
        <w:tab w:val="right" w:pos="8640"/>
      </w:tabs>
    </w:pPr>
    <w:rPr>
      <w:rFonts w:cs="Tahoma"/>
    </w:rPr>
  </w:style>
  <w:style w:type="table" w:styleId="TableGrid">
    <w:name w:val="Table Grid"/>
    <w:basedOn w:val="TableNormal"/>
    <w:rsid w:val="00CD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s">
    <w:name w:val="Headings"/>
    <w:rsid w:val="00CD78D1"/>
    <w:rPr>
      <w:rFonts w:ascii="Arial" w:hAnsi="Arial"/>
      <w:b/>
      <w:bCs/>
      <w:sz w:val="24"/>
    </w:rPr>
  </w:style>
  <w:style w:type="paragraph" w:customStyle="1" w:styleId="BodyTextFrontPage">
    <w:name w:val="BodyText Front Page"/>
    <w:basedOn w:val="Normal"/>
    <w:rsid w:val="00D838B4"/>
    <w:pPr>
      <w:framePr w:hSpace="180" w:wrap="around" w:vAnchor="text" w:hAnchor="margin" w:xAlign="center" w:y="37"/>
      <w:jc w:val="center"/>
    </w:pPr>
    <w:rPr>
      <w:sz w:val="24"/>
    </w:rPr>
  </w:style>
  <w:style w:type="paragraph" w:styleId="TOC2">
    <w:name w:val="toc 2"/>
    <w:basedOn w:val="Heading2"/>
    <w:next w:val="Normal"/>
    <w:autoRedefine/>
    <w:semiHidden/>
    <w:rsid w:val="00A6576B"/>
    <w:pPr>
      <w:keepNext w:val="0"/>
      <w:spacing w:before="120" w:after="0"/>
      <w:ind w:left="220"/>
      <w:outlineLvl w:val="9"/>
    </w:pPr>
    <w:rPr>
      <w:rFonts w:cs="Times New Roman"/>
      <w:b w:val="0"/>
      <w:bCs w:val="0"/>
      <w:iCs/>
      <w:szCs w:val="20"/>
      <w:lang w:val="en-GB"/>
    </w:rPr>
  </w:style>
  <w:style w:type="paragraph" w:styleId="TOC1">
    <w:name w:val="toc 1"/>
    <w:basedOn w:val="Normal"/>
    <w:next w:val="Normal"/>
    <w:autoRedefine/>
    <w:semiHidden/>
    <w:rsid w:val="00DC69BA"/>
    <w:pPr>
      <w:spacing w:before="240" w:after="120"/>
    </w:pPr>
    <w:rPr>
      <w:b/>
      <w:bCs/>
    </w:rPr>
  </w:style>
  <w:style w:type="paragraph" w:styleId="TOC3">
    <w:name w:val="toc 3"/>
    <w:basedOn w:val="Normal"/>
    <w:next w:val="Normal"/>
    <w:autoRedefine/>
    <w:semiHidden/>
    <w:rsid w:val="00A6576B"/>
    <w:pPr>
      <w:ind w:left="440"/>
    </w:pPr>
  </w:style>
  <w:style w:type="paragraph" w:styleId="TOC4">
    <w:name w:val="toc 4"/>
    <w:basedOn w:val="Normal"/>
    <w:next w:val="Normal"/>
    <w:autoRedefine/>
    <w:semiHidden/>
    <w:pPr>
      <w:ind w:left="660"/>
    </w:pPr>
    <w:rPr>
      <w:rFonts w:ascii="Times New Roman" w:hAnsi="Times New Roman"/>
      <w:sz w:val="20"/>
    </w:rPr>
  </w:style>
  <w:style w:type="paragraph" w:styleId="TOC5">
    <w:name w:val="toc 5"/>
    <w:basedOn w:val="Normal"/>
    <w:next w:val="Normal"/>
    <w:autoRedefine/>
    <w:semiHidden/>
    <w:pPr>
      <w:ind w:left="880"/>
    </w:pPr>
    <w:rPr>
      <w:rFonts w:ascii="Times New Roman" w:hAnsi="Times New Roman"/>
      <w:sz w:val="20"/>
    </w:rPr>
  </w:style>
  <w:style w:type="paragraph" w:styleId="TOC6">
    <w:name w:val="toc 6"/>
    <w:basedOn w:val="Normal"/>
    <w:next w:val="Normal"/>
    <w:autoRedefine/>
    <w:semiHidden/>
    <w:pPr>
      <w:ind w:left="1100"/>
    </w:pPr>
    <w:rPr>
      <w:rFonts w:ascii="Times New Roman" w:hAnsi="Times New Roman"/>
      <w:sz w:val="20"/>
    </w:rPr>
  </w:style>
  <w:style w:type="paragraph" w:styleId="TOC7">
    <w:name w:val="toc 7"/>
    <w:basedOn w:val="Normal"/>
    <w:next w:val="Normal"/>
    <w:autoRedefine/>
    <w:semiHidden/>
    <w:pPr>
      <w:ind w:left="1320"/>
    </w:pPr>
    <w:rPr>
      <w:rFonts w:ascii="Times New Roman" w:hAnsi="Times New Roman"/>
      <w:sz w:val="20"/>
    </w:rPr>
  </w:style>
  <w:style w:type="paragraph" w:styleId="TOC8">
    <w:name w:val="toc 8"/>
    <w:basedOn w:val="Normal"/>
    <w:next w:val="Normal"/>
    <w:autoRedefine/>
    <w:semiHidden/>
    <w:pPr>
      <w:ind w:left="1540"/>
    </w:pPr>
    <w:rPr>
      <w:rFonts w:ascii="Times New Roman" w:hAnsi="Times New Roman"/>
      <w:sz w:val="20"/>
    </w:rPr>
  </w:style>
  <w:style w:type="paragraph" w:styleId="TOC9">
    <w:name w:val="toc 9"/>
    <w:basedOn w:val="Normal"/>
    <w:next w:val="Normal"/>
    <w:autoRedefine/>
    <w:semiHidden/>
    <w:pPr>
      <w:ind w:left="1760"/>
    </w:pPr>
    <w:rPr>
      <w:rFonts w:ascii="Times New Roman" w:hAnsi="Times New Roman"/>
      <w:sz w:val="20"/>
    </w:rPr>
  </w:style>
  <w:style w:type="paragraph" w:customStyle="1" w:styleId="MainTitle">
    <w:name w:val="Main Title"/>
    <w:basedOn w:val="Heading1"/>
    <w:rsid w:val="00D838B4"/>
    <w:pPr>
      <w:jc w:val="center"/>
    </w:pPr>
    <w:rPr>
      <w:bCs/>
      <w:iCs w:val="0"/>
      <w:sz w:val="40"/>
    </w:rPr>
  </w:style>
  <w:style w:type="character" w:customStyle="1" w:styleId="FooterChar">
    <w:name w:val="Footer Char"/>
    <w:link w:val="Footer"/>
    <w:rsid w:val="00A9048F"/>
    <w:rPr>
      <w:rFonts w:ascii="Arial" w:hAnsi="Arial" w:cs="Tahoma"/>
      <w:sz w:val="22"/>
      <w:lang w:val="en-GB" w:eastAsia="en-US" w:bidi="ar-SA"/>
    </w:rPr>
  </w:style>
  <w:style w:type="character" w:customStyle="1" w:styleId="Heading4Char">
    <w:name w:val="Heading 4 Char"/>
    <w:link w:val="Heading4"/>
    <w:rsid w:val="00A9048F"/>
    <w:rPr>
      <w:rFonts w:ascii="Arial" w:hAnsi="Arial" w:cs="Tahoma"/>
      <w:b/>
      <w:bCs/>
      <w:color w:val="FF0000"/>
      <w:sz w:val="24"/>
      <w:szCs w:val="24"/>
      <w:lang w:val="en-GB" w:eastAsia="en-US" w:bidi="ar-SA"/>
    </w:rPr>
  </w:style>
  <w:style w:type="numbering" w:customStyle="1" w:styleId="Numbering-Main">
    <w:name w:val="Numbering - Main"/>
    <w:basedOn w:val="NoList"/>
    <w:rsid w:val="00620713"/>
    <w:pPr>
      <w:numPr>
        <w:numId w:val="2"/>
      </w:numPr>
    </w:pPr>
  </w:style>
  <w:style w:type="numbering" w:customStyle="1" w:styleId="Numbering-2ndLevel">
    <w:name w:val="Numbering - 2nd Level"/>
    <w:basedOn w:val="NoList"/>
    <w:rsid w:val="00891DBE"/>
    <w:pPr>
      <w:numPr>
        <w:numId w:val="3"/>
      </w:numPr>
    </w:pPr>
  </w:style>
  <w:style w:type="paragraph" w:customStyle="1" w:styleId="BodyText-2ndlevel">
    <w:name w:val="Body Text - 2nd level"/>
    <w:basedOn w:val="Normal"/>
    <w:rsid w:val="0002557F"/>
    <w:pPr>
      <w:ind w:left="1066"/>
    </w:pPr>
    <w:rPr>
      <w:sz w:val="24"/>
    </w:rPr>
  </w:style>
  <w:style w:type="paragraph" w:customStyle="1" w:styleId="Bodytext-1stLevel">
    <w:name w:val="Body text - 1st Level"/>
    <w:basedOn w:val="Normal"/>
    <w:rsid w:val="0002557F"/>
    <w:pPr>
      <w:ind w:left="390"/>
    </w:pPr>
    <w:rPr>
      <w:sz w:val="24"/>
    </w:rPr>
  </w:style>
  <w:style w:type="character" w:customStyle="1" w:styleId="BodyText-Tables2">
    <w:name w:val="Body Text - Tables 2"/>
    <w:rsid w:val="0059753C"/>
    <w:rPr>
      <w:rFonts w:ascii="Arial" w:hAnsi="Arial"/>
      <w:sz w:val="24"/>
    </w:rPr>
  </w:style>
  <w:style w:type="numbering" w:customStyle="1" w:styleId="StyleBulleted">
    <w:name w:val="Style Bulleted"/>
    <w:rsid w:val="00FA1752"/>
    <w:pPr>
      <w:numPr>
        <w:numId w:val="6"/>
      </w:numPr>
    </w:pPr>
  </w:style>
  <w:style w:type="paragraph" w:styleId="NoSpacing">
    <w:name w:val="No Spacing"/>
    <w:uiPriority w:val="1"/>
    <w:qFormat/>
    <w:rsid w:val="00386207"/>
    <w:rPr>
      <w:rFonts w:ascii="Calibri" w:hAnsi="Calibri"/>
      <w:sz w:val="22"/>
      <w:lang w:eastAsia="en-US"/>
    </w:rPr>
  </w:style>
  <w:style w:type="character" w:styleId="Hyperlink">
    <w:name w:val="Hyperlink"/>
    <w:basedOn w:val="DefaultParagraphFont"/>
    <w:rsid w:val="00166C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90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viapath.co.uk/our-tests/protein-s100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9A439.FAC78090"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S-100 Protein</vt:lpstr>
    </vt:vector>
  </TitlesOfParts>
  <Company>Basildon &amp; Thurrock GHT</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S-100 Protein</dc:title>
  <dc:subject/>
  <dc:creator>Katherine Reade</dc:creator>
  <cp:keywords/>
  <cp:lastModifiedBy>Kim Aston</cp:lastModifiedBy>
  <cp:revision>7</cp:revision>
  <cp:lastPrinted>2013-05-21T17:03:00Z</cp:lastPrinted>
  <dcterms:created xsi:type="dcterms:W3CDTF">2018-11-08T14:40:00Z</dcterms:created>
  <dcterms:modified xsi:type="dcterms:W3CDTF">2023-12-14T15:21:00Z</dcterms:modified>
</cp:coreProperties>
</file>