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gif" ContentType="image/gif"/>
  <Override PartName="/word/media/image5.jpeg" ContentType="image/jpeg"/>
  <Override PartName="/word/media/image3.jpeg" ContentType="image/jpeg"/>
  <Override PartName="/word/media/image4.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Style w:val="TableGrid"/>
        <w:tblW w:w="10631"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82"/>
        <w:gridCol w:w="2837"/>
        <w:gridCol w:w="281"/>
        <w:gridCol w:w="7230"/>
      </w:tblGrid>
      <w:tr>
        <w:trPr>
          <w:trHeight w:val="621" w:hRule="atLeast"/>
        </w:trPr>
        <w:tc>
          <w:tcPr>
            <w:tcW w:w="10630" w:type="dxa"/>
            <w:gridSpan w:val="4"/>
            <w:tcBorders>
              <w:top w:val="nil"/>
              <w:left w:val="nil"/>
              <w:bottom w:val="nil"/>
              <w:right w:val="nil"/>
            </w:tcBorders>
          </w:tcPr>
          <w:p>
            <w:pPr>
              <w:pStyle w:val="Normal"/>
              <w:widowControl/>
              <w:suppressAutoHyphens w:val="true"/>
              <w:spacing w:before="0" w:after="0"/>
              <w:jc w:val="left"/>
              <w:rPr>
                <w:b/>
                <w:b/>
                <w:sz w:val="36"/>
              </w:rPr>
            </w:pPr>
            <w:r>
              <w:rPr>
                <w:rFonts w:eastAsia="Times New Roman" w:cs="Times New Roman"/>
                <w:b/>
                <w:kern w:val="0"/>
                <w:sz w:val="36"/>
                <w:szCs w:val="20"/>
                <w:lang w:val="en-GB" w:bidi="ar-SA"/>
              </w:rPr>
              <w:t>Rheumatoid Factor</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Synonyms</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RhF, RAH</w:t>
            </w:r>
            <w:r>
              <w:drawing>
                <wp:anchor behindDoc="0" distT="0" distB="0" distL="0" distR="0" simplePos="0" locked="0" layoutInCell="0" allowOverlap="1" relativeHeight="7">
                  <wp:simplePos x="0" y="0"/>
                  <wp:positionH relativeFrom="column">
                    <wp:posOffset>490220</wp:posOffset>
                  </wp:positionH>
                  <wp:positionV relativeFrom="paragraph">
                    <wp:posOffset>-1480185</wp:posOffset>
                  </wp:positionV>
                  <wp:extent cx="983615" cy="13182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83615" cy="1318260"/>
                          </a:xfrm>
                          <a:prstGeom prst="rect">
                            <a:avLst/>
                          </a:prstGeom>
                        </pic:spPr>
                      </pic:pic>
                    </a:graphicData>
                  </a:graphic>
                </wp:anchor>
              </w:drawing>
            </w:r>
            <w:r>
              <w:rPr>
                <w:rFonts w:eastAsia="Times New Roman" w:cs="Times New Roman"/>
                <w:kern w:val="0"/>
                <w:szCs w:val="22"/>
                <w:lang w:val="en-GB" w:bidi="ar-SA"/>
              </w:rPr>
              <w:t>A</w:t>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Clinical Indication</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tcPr>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Rheumatoid factor (RF) is an autoantibody directed against the Fc portion of IgG that can be used as a marker of rheumatoid arthritis (RA). The most common and clinically useful class of RF is IgM, however there are also IgG and IgA forms. The test is indicated in investigation of Polyarthritis, RA, Connective Tissue Disease, Cryoglobulinaemia.</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Part of Profile / See Also</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Request Form</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tcPr>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Combined Pathology manual Blood form or ICE request</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Availability / Frequency of Analysis</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shd w:color="auto" w:fill="D9D9D9" w:themeFill="background1" w:themeFillShade="d9" w:val="clear"/>
          </w:tcPr>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On request.</w:t>
            </w:r>
          </w:p>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Minimum retesting interval is 7 years.</w:t>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Turnaround Time</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Same day (Monday to Friday).</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Patient Preparation</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None required.</w:t>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Sample Requirements</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282" w:type="dxa"/>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r>
          </w:p>
        </w:tc>
        <w:tc>
          <w:tcPr>
            <w:tcW w:w="2837" w:type="dxa"/>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Specimen Type</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Serum / Plasma</w:t>
            </w:r>
          </w:p>
        </w:tc>
      </w:tr>
      <w:tr>
        <w:trPr/>
        <w:tc>
          <w:tcPr>
            <w:tcW w:w="282" w:type="dxa"/>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r>
          </w:p>
        </w:tc>
        <w:tc>
          <w:tcPr>
            <w:tcW w:w="2837" w:type="dxa"/>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Volume</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0.5 ml</w:t>
            </w:r>
          </w:p>
        </w:tc>
      </w:tr>
      <w:tr>
        <w:trPr/>
        <w:tc>
          <w:tcPr>
            <w:tcW w:w="282" w:type="dxa"/>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r>
          </w:p>
        </w:tc>
        <w:tc>
          <w:tcPr>
            <w:tcW w:w="2837" w:type="dxa"/>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Container</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tcPr>
          <w:p>
            <w:pPr>
              <w:pStyle w:val="Normal"/>
              <w:widowControl/>
              <w:tabs>
                <w:tab w:val="clear" w:pos="720"/>
                <w:tab w:val="left" w:pos="3705" w:leader="none"/>
              </w:tabs>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0"/>
                <w:lang w:val="en-GB" w:bidi="ar-SA"/>
              </w:rPr>
              <w:drawing>
                <wp:inline distT="0" distB="0" distL="0" distR="0">
                  <wp:extent cx="2371725" cy="44894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2371725" cy="448945"/>
                          </a:xfrm>
                          <a:prstGeom prst="rect">
                            <a:avLst/>
                          </a:prstGeom>
                        </pic:spPr>
                      </pic:pic>
                    </a:graphicData>
                  </a:graphic>
                </wp:inline>
              </w:drawing>
            </w:r>
            <w:r>
              <w:rPr>
                <w:rFonts w:eastAsia="Times New Roman" w:cs="Times New Roman"/>
                <w:kern w:val="0"/>
                <w:szCs w:val="22"/>
                <w:lang w:val="en-GB" w:eastAsia="en-GB" w:bidi="ar-SA"/>
              </w:rPr>
              <w:t xml:space="preserve"> </w:t>
            </w:r>
            <w:r>
              <w:rPr>
                <w:rFonts w:eastAsia="Times New Roman" w:cs="Times New Roman"/>
                <w:kern w:val="0"/>
                <w:szCs w:val="22"/>
                <w:lang w:val="en-GB" w:eastAsia="en-GB" w:bidi="ar-SA"/>
              </w:rPr>
              <w:t>Yellow top (SST) tube</w:t>
            </w:r>
          </w:p>
          <w:p>
            <w:pPr>
              <w:pStyle w:val="Normal"/>
              <w:widowControl/>
              <w:tabs>
                <w:tab w:val="clear" w:pos="720"/>
                <w:tab w:val="left" w:pos="3705" w:leader="none"/>
              </w:tabs>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Or </w:t>
            </w:r>
            <w:r>
              <w:rPr>
                <w:rFonts w:eastAsia="Times New Roman" w:cs="Times New Roman"/>
                <w:kern w:val="0"/>
                <w:szCs w:val="20"/>
                <w:lang w:val="en-GB" w:bidi="ar-SA"/>
              </w:rPr>
              <w:drawing>
                <wp:inline distT="0" distB="0" distL="0" distR="0">
                  <wp:extent cx="1435735" cy="495300"/>
                  <wp:effectExtent l="0" t="0" r="0" b="0"/>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4"/>
                          <a:stretch>
                            <a:fillRect/>
                          </a:stretch>
                        </pic:blipFill>
                        <pic:spPr bwMode="auto">
                          <a:xfrm>
                            <a:off x="0" y="0"/>
                            <a:ext cx="1435735" cy="495300"/>
                          </a:xfrm>
                          <a:prstGeom prst="rect">
                            <a:avLst/>
                          </a:prstGeom>
                        </pic:spPr>
                      </pic:pic>
                    </a:graphicData>
                  </a:graphic>
                </wp:inline>
              </w:drawing>
            </w:r>
            <w:r>
              <w:rPr>
                <w:rFonts w:eastAsia="Times New Roman" w:cs="Times New Roman"/>
                <w:kern w:val="0"/>
                <w:szCs w:val="22"/>
                <w:lang w:val="en-GB" w:eastAsia="en-GB" w:bidi="ar-SA"/>
              </w:rPr>
              <w:t xml:space="preserve"> Paediatric green top (lithium-heparin)</w:t>
            </w:r>
          </w:p>
          <w:p>
            <w:pPr>
              <w:pStyle w:val="Normal"/>
              <w:widowControl/>
              <w:tabs>
                <w:tab w:val="clear" w:pos="720"/>
                <w:tab w:val="left" w:pos="3705" w:leader="none"/>
              </w:tabs>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Or </w:t>
            </w:r>
            <w:r>
              <w:rPr>
                <w:rFonts w:eastAsia="Times New Roman" w:cs="Times New Roman"/>
                <w:kern w:val="0"/>
                <w:szCs w:val="20"/>
                <w:lang w:val="en-GB" w:bidi="ar-SA"/>
              </w:rPr>
              <w:drawing>
                <wp:inline distT="0" distB="0" distL="0" distR="0">
                  <wp:extent cx="1238250" cy="342900"/>
                  <wp:effectExtent l="0" t="0" r="0" b="0"/>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5"/>
                          <a:stretch>
                            <a:fillRect/>
                          </a:stretch>
                        </pic:blipFill>
                        <pic:spPr bwMode="auto">
                          <a:xfrm>
                            <a:off x="0" y="0"/>
                            <a:ext cx="1238250" cy="342900"/>
                          </a:xfrm>
                          <a:prstGeom prst="rect">
                            <a:avLst/>
                          </a:prstGeom>
                        </pic:spPr>
                      </pic:pic>
                    </a:graphicData>
                  </a:graphic>
                </wp:inline>
              </w:drawing>
            </w:r>
            <w:r>
              <w:rPr>
                <w:rFonts w:eastAsia="Times New Roman" w:cs="Times New Roman"/>
                <w:kern w:val="0"/>
                <w:szCs w:val="22"/>
                <w:lang w:val="en-GB" w:eastAsia="en-GB" w:bidi="ar-SA"/>
              </w:rPr>
              <w:t xml:space="preserve"> Paediatric orange top (lithium heparin)</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Reference Range &amp; Units</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shd w:color="auto" w:fill="D9D9D9" w:themeFill="background1" w:themeFillShade="d9" w:val="clear"/>
          </w:tcPr>
          <w:p>
            <w:pPr>
              <w:pStyle w:val="NoSpacing"/>
              <w:widowControl/>
              <w:suppressAutoHyphens w:val="true"/>
              <w:spacing w:before="0" w:after="0"/>
              <w:jc w:val="left"/>
              <w:rPr>
                <w:lang w:eastAsia="en-GB"/>
              </w:rPr>
            </w:pPr>
            <w:r>
              <w:rPr>
                <w:rFonts w:eastAsia="Times New Roman" w:cs="Times New Roman"/>
                <w:kern w:val="0"/>
                <w:szCs w:val="20"/>
                <w:lang w:val="en-GB" w:eastAsia="en-GB" w:bidi="ar-SA"/>
              </w:rPr>
              <w:t xml:space="preserve">0-14 IU/mL.  </w:t>
            </w:r>
          </w:p>
          <w:p>
            <w:pPr>
              <w:pStyle w:val="NoSpacing"/>
              <w:widowControl/>
              <w:suppressAutoHyphens w:val="true"/>
              <w:spacing w:before="0" w:after="0"/>
              <w:jc w:val="left"/>
              <w:rPr>
                <w:lang w:eastAsia="en-GB"/>
              </w:rPr>
            </w:pPr>
            <w:r>
              <w:rPr>
                <w:rFonts w:eastAsia="Times New Roman" w:cs="Times New Roman"/>
                <w:kern w:val="0"/>
                <w:sz w:val="18"/>
                <w:szCs w:val="20"/>
                <w:lang w:val="en-GB" w:eastAsia="en-GB" w:bidi="ar-SA"/>
              </w:rPr>
              <w:t xml:space="preserve">Reference: Beckman method insert  </w:t>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Interferences</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 xml:space="preserve">Interpretation &amp; Clinical </w:t>
            </w:r>
          </w:p>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Decision Value (if applicable)</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shd w:color="auto" w:fill="D9D9D9" w:themeFill="background1" w:themeFillShade="d9" w:val="clear"/>
          </w:tcPr>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RF is not diagnostic of RA since 2-10% of the normal population will have a positive result. 20-30% of patients with RA have no RF present, this is referred to as 'seronegative arthritis'. RF has been detected in patients with various connective tissue diseases such as Systemic Lupus Erythematosus (SLE) and Sjögren's syndrome, and also in the sera of patients with hypergammaglobulinaemic liver disease, syphilis, sarcoidosis and transiently following infection. Therefore, RA should not be relied upon as the only diagnostic tool and must be used in conjunction with other patient evidence. Referral to rheumatology should be based on clinical findings and not on the RF result. </w:t>
            </w:r>
          </w:p>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RF has a 12 month minimum retesting interval. </w:t>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References</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tcPr>
          <w:p>
            <w:pPr>
              <w:pStyle w:val="Normal"/>
              <w:widowControl/>
              <w:suppressAutoHyphens w:val="true"/>
              <w:spacing w:lineRule="auto" w:line="360" w:before="0" w:after="0"/>
              <w:jc w:val="left"/>
              <w:rPr>
                <w:rFonts w:ascii="Calibri" w:hAnsi="Calibri" w:asciiTheme="minorHAnsi" w:hAnsiTheme="minorHAnsi"/>
                <w:szCs w:val="22"/>
                <w:lang w:eastAsia="en-GB"/>
              </w:rPr>
            </w:pPr>
            <w:r>
              <w:rPr>
                <w:rFonts w:eastAsia="Times New Roman" w:cs="Times New Roman"/>
                <w:kern w:val="0"/>
                <w:szCs w:val="22"/>
                <w:lang w:val="en-GB" w:eastAsia="en-GB" w:bidi="ar-SA"/>
              </w:rPr>
              <w:t>Protein Reference Unit Handbook of Clinical Immunochemistry. 9th Edition. 2007.</w:t>
            </w:r>
          </w:p>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eastAsia="en-GB" w:bidi="ar-SA"/>
              </w:rPr>
              <w:t>NICE NG100 Rheumatoid arthritis in adults: management  2018.</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Test code</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RF</w:t>
            </w:r>
          </w:p>
        </w:tc>
      </w:tr>
      <w:tr>
        <w:trPr/>
        <w:tc>
          <w:tcPr>
            <w:tcW w:w="3119" w:type="dxa"/>
            <w:gridSpan w:val="2"/>
            <w:tcBorders>
              <w:top w:val="nil"/>
              <w:left w:val="nil"/>
              <w:bottom w:val="nil"/>
              <w:right w:val="nil"/>
            </w:tcBorders>
            <w:shd w:color="auto" w:fill="auto" w:val="clear"/>
          </w:tcPr>
          <w:p>
            <w:pPr>
              <w:pStyle w:val="Normal"/>
              <w:widowControl/>
              <w:suppressAutoHyphens w:val="true"/>
              <w:spacing w:lineRule="auto" w:line="360" w:before="0" w:after="0"/>
              <w:jc w:val="left"/>
              <w:rPr>
                <w:b/>
                <w:b/>
                <w:sz w:val="24"/>
              </w:rPr>
            </w:pPr>
            <w:r>
              <w:rPr>
                <w:rFonts w:eastAsia="Times New Roman" w:cs="Times New Roman"/>
                <w:b/>
                <w:kern w:val="0"/>
                <w:sz w:val="24"/>
                <w:szCs w:val="20"/>
                <w:lang w:val="en-GB" w:bidi="ar-SA"/>
              </w:rPr>
              <w:t>Lab Handling</w:t>
            </w:r>
          </w:p>
        </w:tc>
        <w:tc>
          <w:tcPr>
            <w:tcW w:w="281"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0" w:type="dxa"/>
            <w:tcBorders>
              <w:top w:val="nil"/>
              <w:left w:val="nil"/>
              <w:bottom w:val="nil"/>
              <w:right w:val="nil"/>
            </w:tcBorders>
            <w:shd w:color="auto" w:fill="auto" w:val="clear"/>
          </w:tcPr>
          <w:p>
            <w:pPr>
              <w:pStyle w:val="NoSpacing"/>
              <w:widowControl/>
              <w:suppressAutoHyphens w:val="true"/>
              <w:spacing w:before="0" w:after="0"/>
              <w:jc w:val="left"/>
              <w:rPr>
                <w:rFonts w:ascii="Calibri" w:hAnsi="Calibri" w:asciiTheme="minorHAnsi" w:hAnsiTheme="minorHAnsi"/>
                <w:szCs w:val="22"/>
              </w:rPr>
            </w:pPr>
            <w:r>
              <w:rPr>
                <w:rFonts w:eastAsia="Times New Roman" w:cs="Times New Roman"/>
                <w:kern w:val="0"/>
                <w:szCs w:val="22"/>
                <w:lang w:val="en-GB" w:bidi="ar-SA"/>
              </w:rPr>
              <w:t>Analysed from primary tube and stored at 4°C.</w:t>
            </w:r>
          </w:p>
        </w:tc>
      </w:tr>
    </w:tbl>
    <w:p>
      <w:pPr>
        <w:pStyle w:val="Normal"/>
        <w:spacing w:lineRule="auto" w:line="36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20"/>
          <w:tab w:val="left" w:pos="1440" w:leader="none"/>
        </w:tabs>
        <w:rPr/>
      </w:pPr>
      <w:r>
        <w:rPr/>
        <w:tab/>
      </w:r>
    </w:p>
    <w:sectPr>
      <w:headerReference w:type="default" r:id="rId6"/>
      <w:footerReference w:type="default" r:id="rId7"/>
      <w:type w:val="nextPage"/>
      <w:pgSz w:w="11906" w:h="16838"/>
      <w:pgMar w:left="754" w:right="856" w:gutter="0" w:header="284" w:top="1560" w:footer="299"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auto"/>
    <w:pitch w:val="default"/>
  </w:font>
  <w:font w:name="Calibri">
    <w:charset w:val="01"/>
    <w:family w:val="auto"/>
    <w:pitch w:val="default"/>
  </w:font>
  <w:font w:name="Arial">
    <w:charset w:val="01"/>
    <w:family w:val="auto"/>
    <w:pitch w:val="default"/>
  </w:font>
  <w:font w:name="Calibri Light (Heading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2"/>
        <w:szCs w:val="10"/>
      </w:rPr>
    </w:pPr>
    <w:r>
      <w:rPr>
        <w:b/>
        <w:bCs/>
        <w:sz w:val="2"/>
        <w:szCs w:val="10"/>
      </w:rPr>
    </w:r>
  </w:p>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16"/>
        <w:lang w:val="en-US"/>
      </w:rPr>
    </w:pPr>
    <w:r>
      <w:rPr>
        <w:b/>
        <w:bCs/>
        <w:sz w:val="16"/>
      </w:rPr>
      <w:t>Version 1.</w:t>
    </w:r>
    <w:r>
      <w:rPr>
        <w:b/>
        <w:bCs/>
        <w:sz w:val="16"/>
      </w:rPr>
      <w:t>5</w:t>
    </w:r>
    <w:r>
      <w:rPr>
        <w:b/>
        <w:bCs/>
        <w:sz w:val="16"/>
      </w:rPr>
      <w:t xml:space="preserve"> / </w:t>
    </w:r>
    <w:r>
      <w:rPr>
        <w:b/>
        <w:bCs/>
        <w:sz w:val="16"/>
      </w:rPr>
      <w:t>Decemb</w:t>
    </w:r>
    <w:r>
      <w:rPr>
        <w:b/>
        <w:bCs/>
        <w:sz w:val="16"/>
      </w:rPr>
      <w:t>er 202</w:t>
    </w:r>
    <w:r>
      <w:rPr>
        <w:b/>
        <w:bCs/>
        <w:sz w:val="16"/>
      </w:rPr>
      <w:t>4</w:t>
    </w:r>
    <w:r>
      <w:rPr>
        <w:b/>
        <w:bCs/>
        <w:sz w:val="16"/>
      </w:rPr>
      <w:tab/>
      <w:t>Approved by: Consultant Biochemist</w:t>
      <w:tab/>
    </w:r>
    <w:r>
      <w:rPr>
        <w:b/>
        <w:bCs/>
        <w:sz w:val="16"/>
        <w:lang w:val="en-US"/>
      </w:rPr>
      <w:t xml:space="preserve">Page </w:t>
    </w:r>
    <w:r>
      <w:rPr>
        <w:b/>
        <w:bCs/>
        <w:sz w:val="16"/>
        <w:lang w:val="en-US"/>
      </w:rPr>
      <w:fldChar w:fldCharType="begin"/>
    </w:r>
    <w:r>
      <w:rPr>
        <w:sz w:val="16"/>
        <w:b/>
        <w:bCs/>
        <w:lang w:val="en-US"/>
      </w:rPr>
      <w:instrText xml:space="preserve"> PAGE </w:instrText>
    </w:r>
    <w:r>
      <w:rPr>
        <w:sz w:val="16"/>
        <w:b/>
        <w:bCs/>
        <w:lang w:val="en-US"/>
      </w:rPr>
      <w:fldChar w:fldCharType="separate"/>
    </w:r>
    <w:r>
      <w:rPr>
        <w:sz w:val="16"/>
        <w:b/>
        <w:bCs/>
        <w:lang w:val="en-US"/>
      </w:rPr>
      <w:t>2</w:t>
    </w:r>
    <w:r>
      <w:rPr>
        <w:sz w:val="16"/>
        <w:b/>
        <w:bCs/>
        <w:lang w:val="en-US"/>
      </w:rPr>
      <w:fldChar w:fldCharType="end"/>
    </w:r>
    <w:r>
      <w:rPr>
        <w:b/>
        <w:bCs/>
        <w:sz w:val="16"/>
        <w:lang w:val="en-US"/>
      </w:rPr>
      <w:t xml:space="preserve"> of </w:t>
    </w:r>
    <w:r>
      <w:rPr>
        <w:b/>
        <w:bCs/>
        <w:sz w:val="16"/>
        <w:lang w:val="en-US"/>
      </w:rPr>
      <w:fldChar w:fldCharType="begin"/>
    </w:r>
    <w:r>
      <w:rPr>
        <w:sz w:val="16"/>
        <w:b/>
        <w:bCs/>
        <w:lang w:val="en-US"/>
      </w:rPr>
      <w:instrText xml:space="preserve"> NUMPAGES </w:instrText>
    </w:r>
    <w:r>
      <w:rPr>
        <w:sz w:val="16"/>
        <w:b/>
        <w:bCs/>
        <w:lang w:val="en-US"/>
      </w:rPr>
      <w:fldChar w:fldCharType="separate"/>
    </w:r>
    <w:r>
      <w:rPr>
        <w:sz w:val="16"/>
        <w:b/>
        <w:bCs/>
        <w:lang w:val="en-US"/>
      </w:rPr>
      <w:t>2</w:t>
    </w:r>
    <w:r>
      <w:rPr>
        <w:sz w:val="16"/>
        <w:b/>
        <w:bCs/>
        <w:lang w:val="en-U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6">
          <wp:simplePos x="0" y="0"/>
          <wp:positionH relativeFrom="margin">
            <wp:posOffset>5317490</wp:posOffset>
          </wp:positionH>
          <wp:positionV relativeFrom="paragraph">
            <wp:posOffset>73025</wp:posOffset>
          </wp:positionV>
          <wp:extent cx="1256665" cy="421640"/>
          <wp:effectExtent l="0" t="0" r="0" b="0"/>
          <wp:wrapNone/>
          <wp:docPr id="5"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
                  <pic:cNvPicPr>
                    <a:picLocks noChangeAspect="1" noChangeArrowheads="1"/>
                  </pic:cNvPicPr>
                </pic:nvPicPr>
                <pic:blipFill>
                  <a:blip r:embed="rId1"/>
                  <a:stretch>
                    <a:fillRect/>
                  </a:stretch>
                </pic:blipFill>
                <pic:spPr bwMode="auto">
                  <a:xfrm>
                    <a:off x="0" y="0"/>
                    <a:ext cx="1256665" cy="421640"/>
                  </a:xfrm>
                  <a:prstGeom prst="rect">
                    <a:avLst/>
                  </a:prstGeom>
                </pic:spPr>
              </pic:pic>
            </a:graphicData>
          </a:graphic>
        </wp:anchor>
      </w:drawing>
    </w:r>
  </w:p>
  <w:p>
    <w:pPr>
      <w:pStyle w:val="Header"/>
      <w:rPr/>
    </w:pPr>
    <w:r>
      <w:rPr/>
    </w:r>
  </w:p>
  <w:p>
    <w:pPr>
      <w:pStyle w:val="Header"/>
      <w:rPr/>
    </w:pPr>
    <w:r>
      <w:rPr/>
    </w:r>
  </w:p>
  <w:p>
    <w:pPr>
      <w:pStyle w:val="Header"/>
      <w:jc w:val="right"/>
      <w:rPr>
        <w:sz w:val="14"/>
        <w:szCs w:val="14"/>
      </w:rPr>
    </w:pPr>
    <w:r>
      <w:rPr>
        <w:sz w:val="14"/>
        <w:szCs w:val="14"/>
      </w:rPr>
    </w:r>
  </w:p>
  <w:p>
    <w:pPr>
      <w:pStyle w:val="Header"/>
      <w:jc w:val="right"/>
      <w:rPr>
        <w:b/>
        <w:b/>
        <w:sz w:val="16"/>
        <w:szCs w:val="14"/>
      </w:rPr>
    </w:pPr>
    <w:r>
      <w:rPr>
        <w:b/>
        <w:sz w:val="16"/>
        <w:szCs w:val="14"/>
      </w:rPr>
      <w:t>PF-PTD-258</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129b1"/>
    <w:pPr>
      <w:widowControl/>
      <w:suppressAutoHyphens w:val="true"/>
      <w:bidi w:val="0"/>
      <w:spacing w:lineRule="auto" w:line="276" w:before="0" w:after="0"/>
      <w:jc w:val="left"/>
    </w:pPr>
    <w:rPr>
      <w:rFonts w:ascii="Calibri" w:hAnsi="Calibri" w:eastAsia="Times New Roman" w:cs="Times New Roman"/>
      <w:color w:val="auto"/>
      <w:kern w:val="0"/>
      <w:sz w:val="22"/>
      <w:szCs w:val="20"/>
      <w:lang w:eastAsia="en-US" w:val="en-GB" w:bidi="ar-SA"/>
    </w:rPr>
  </w:style>
  <w:style w:type="paragraph" w:styleId="Heading1">
    <w:name w:val="Heading 1"/>
    <w:basedOn w:val="Normal"/>
    <w:next w:val="Normal"/>
    <w:qFormat/>
    <w:rsid w:val="00410abf"/>
    <w:pPr>
      <w:keepNext w:val="true"/>
      <w:spacing w:before="240" w:after="60"/>
      <w:outlineLvl w:val="0"/>
    </w:pPr>
    <w:rPr>
      <w:b/>
      <w:iCs/>
      <w:caps/>
      <w:kern w:val="2"/>
      <w:sz w:val="28"/>
      <w:lang w:val="en-US"/>
    </w:rPr>
  </w:style>
  <w:style w:type="paragraph" w:styleId="Heading2">
    <w:name w:val="Heading 2"/>
    <w:basedOn w:val="Normal"/>
    <w:next w:val="Normal"/>
    <w:qFormat/>
    <w:pPr>
      <w:keepNext w:val="true"/>
      <w:spacing w:before="240" w:after="60"/>
      <w:outlineLvl w:val="1"/>
    </w:pPr>
    <w:rPr>
      <w:rFonts w:cs="Arial"/>
      <w:b/>
      <w:bCs/>
      <w:sz w:val="24"/>
      <w:szCs w:val="28"/>
      <w:lang w:val="en-US"/>
    </w:rPr>
  </w:style>
  <w:style w:type="paragraph" w:styleId="Heading3">
    <w:name w:val="Heading 3"/>
    <w:basedOn w:val="Normal"/>
    <w:next w:val="Normal"/>
    <w:qFormat/>
    <w:pPr>
      <w:keepNext w:val="true"/>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styleId="DefaultParagraphFont" w:default="1">
    <w:name w:val="Default Paragraph Font"/>
    <w:uiPriority w:val="1"/>
    <w:semiHidden/>
    <w:unhideWhenUsed/>
    <w:qFormat/>
    <w:rPr/>
  </w:style>
  <w:style w:type="character" w:styleId="Headings" w:customStyle="1">
    <w:name w:val="Headings"/>
    <w:qFormat/>
    <w:rsid w:val="00cd78d1"/>
    <w:rPr>
      <w:rFonts w:ascii="Arial" w:hAnsi="Arial"/>
      <w:b/>
      <w:bCs/>
      <w:sz w:val="24"/>
    </w:rPr>
  </w:style>
  <w:style w:type="character" w:styleId="FooterChar" w:customStyle="1">
    <w:name w:val="Footer Char"/>
    <w:link w:val="Footer"/>
    <w:qFormat/>
    <w:rsid w:val="00a9048f"/>
    <w:rPr>
      <w:rFonts w:ascii="Arial" w:hAnsi="Arial" w:cs="Tahoma"/>
      <w:sz w:val="22"/>
      <w:lang w:val="en-GB" w:eastAsia="en-US" w:bidi="ar-SA"/>
    </w:rPr>
  </w:style>
  <w:style w:type="character" w:styleId="Heading4Char" w:customStyle="1">
    <w:name w:val="Heading 4 Char"/>
    <w:link w:val="Heading4"/>
    <w:qFormat/>
    <w:rsid w:val="00a9048f"/>
    <w:rPr>
      <w:rFonts w:ascii="Arial" w:hAnsi="Arial" w:cs="Tahoma"/>
      <w:b/>
      <w:bCs/>
      <w:color w:val="FF0000"/>
      <w:sz w:val="24"/>
      <w:szCs w:val="24"/>
      <w:lang w:val="en-GB" w:eastAsia="en-US" w:bidi="ar-SA"/>
    </w:rPr>
  </w:style>
  <w:style w:type="character" w:styleId="BodyTextTables2" w:customStyle="1">
    <w:name w:val="Body Text - Tables 2"/>
    <w:qFormat/>
    <w:rsid w:val="0059753c"/>
    <w:rPr>
      <w:rFonts w:ascii="Arial" w:hAnsi="Arial"/>
      <w:sz w:val="24"/>
    </w:rPr>
  </w:style>
  <w:style w:type="paragraph" w:styleId="Heading" w:customStyle="1">
    <w:name w:val="Heading"/>
    <w:basedOn w:val="Normal"/>
    <w:next w:val="TextBody"/>
    <w:qFormat/>
    <w:pPr>
      <w:keepNext w:val="true"/>
      <w:spacing w:before="240" w:after="120"/>
    </w:pPr>
    <w:rPr>
      <w:rFonts w:ascii="Calibri Light (Headings)" w:hAnsi="Calibri Light (Headings)" w:eastAsia="Microsoft YaHei" w:cs="Mangal"/>
      <w:sz w:val="32"/>
      <w:szCs w:val="28"/>
    </w:rPr>
  </w:style>
  <w:style w:type="paragraph" w:styleId="TextBody">
    <w:name w:val="Body Text"/>
    <w:basedOn w:val="Normal"/>
    <w:pPr>
      <w:spacing w:before="0" w:after="140"/>
    </w:pPr>
    <w:rPr/>
  </w:style>
  <w:style w:type="paragraph" w:styleId="List">
    <w:name w:val="List"/>
    <w:basedOn w:val="TextBody"/>
    <w:pPr/>
    <w:rPr>
      <w:rFonts w:cs="Mangal"/>
      <w:sz w:val="24"/>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sz w:val="24"/>
    </w:rPr>
  </w:style>
  <w:style w:type="paragraph" w:styleId="HeaderandFooter" w:customStyle="1">
    <w:name w:val="Header and Footer"/>
    <w:basedOn w:val="Normal"/>
    <w:qFormat/>
    <w:pPr/>
    <w:rPr/>
  </w:style>
  <w:style w:type="paragraph" w:styleId="Footer">
    <w:name w:val="Footer"/>
    <w:basedOn w:val="Normal"/>
    <w:link w:val="FooterChar"/>
    <w:pPr>
      <w:tabs>
        <w:tab w:val="clear" w:pos="720"/>
        <w:tab w:val="center" w:pos="4320" w:leader="none"/>
        <w:tab w:val="right" w:pos="8640" w:leader="none"/>
      </w:tabs>
    </w:pPr>
    <w:rPr>
      <w:rFonts w:cs="Tahoma"/>
    </w:rPr>
  </w:style>
  <w:style w:type="paragraph" w:styleId="Caption1">
    <w:name w:val="caption"/>
    <w:basedOn w:val="Normal"/>
    <w:qFormat/>
    <w:pPr>
      <w:suppressLineNumbers/>
      <w:spacing w:before="120" w:after="120"/>
    </w:pPr>
    <w:rPr>
      <w:rFonts w:cs="Mangal"/>
      <w:i/>
      <w:iCs/>
      <w:sz w:val="24"/>
      <w:szCs w:val="24"/>
    </w:rPr>
  </w:style>
  <w:style w:type="paragraph" w:styleId="Header">
    <w:name w:val="Header"/>
    <w:basedOn w:val="Normal"/>
    <w:pPr>
      <w:tabs>
        <w:tab w:val="clear" w:pos="720"/>
        <w:tab w:val="center" w:pos="4320" w:leader="none"/>
        <w:tab w:val="right" w:pos="8640" w:leader="none"/>
      </w:tabs>
    </w:pPr>
    <w:rPr>
      <w:rFonts w:cs="Tahoma"/>
    </w:rPr>
  </w:style>
  <w:style w:type="paragraph" w:styleId="BodyTextFrontPage" w:customStyle="1">
    <w:name w:val="BodyText Front Page"/>
    <w:basedOn w:val="Normal"/>
    <w:qFormat/>
    <w:rsid w:val="00d838b4"/>
    <w:pPr>
      <w:jc w:val="center"/>
    </w:pPr>
    <w:rPr>
      <w:sz w:val="24"/>
    </w:rPr>
  </w:style>
  <w:style w:type="paragraph" w:styleId="Contents2">
    <w:name w:val="TOC 2"/>
    <w:basedOn w:val="Heading2"/>
    <w:next w:val="Normal"/>
    <w:autoRedefine/>
    <w:semiHidden/>
    <w:rsid w:val="00a6576b"/>
    <w:pPr>
      <w:keepNext w:val="false"/>
      <w:spacing w:before="120" w:after="0"/>
      <w:ind w:left="220" w:hanging="0"/>
      <w:outlineLvl w:val="9"/>
    </w:pPr>
    <w:rPr>
      <w:rFonts w:cs="Times New Roman"/>
      <w:b w:val="false"/>
      <w:bCs w:val="false"/>
      <w:iCs/>
      <w:szCs w:val="20"/>
      <w:lang w:val="en-GB"/>
    </w:rPr>
  </w:style>
  <w:style w:type="paragraph" w:styleId="Contents1">
    <w:name w:val="TOC 1"/>
    <w:basedOn w:val="Normal"/>
    <w:next w:val="Normal"/>
    <w:autoRedefine/>
    <w:semiHidden/>
    <w:rsid w:val="00dc69ba"/>
    <w:pPr>
      <w:spacing w:before="240" w:after="120"/>
    </w:pPr>
    <w:rPr>
      <w:b/>
      <w:bCs/>
    </w:rPr>
  </w:style>
  <w:style w:type="paragraph" w:styleId="Contents3">
    <w:name w:val="TOC 3"/>
    <w:basedOn w:val="Normal"/>
    <w:next w:val="Normal"/>
    <w:autoRedefine/>
    <w:semiHidden/>
    <w:rsid w:val="00a6576b"/>
    <w:pPr>
      <w:ind w:left="440" w:hanging="0"/>
    </w:pPr>
    <w:rPr/>
  </w:style>
  <w:style w:type="paragraph" w:styleId="Contents4">
    <w:name w:val="TOC 4"/>
    <w:basedOn w:val="Normal"/>
    <w:next w:val="Normal"/>
    <w:autoRedefine/>
    <w:semiHidden/>
    <w:pPr>
      <w:ind w:left="660" w:hanging="0"/>
    </w:pPr>
    <w:rPr>
      <w:rFonts w:ascii="Times New Roman" w:hAnsi="Times New Roman"/>
      <w:sz w:val="20"/>
    </w:rPr>
  </w:style>
  <w:style w:type="paragraph" w:styleId="Contents5">
    <w:name w:val="TOC 5"/>
    <w:basedOn w:val="Normal"/>
    <w:next w:val="Normal"/>
    <w:autoRedefine/>
    <w:semiHidden/>
    <w:pPr>
      <w:ind w:left="880" w:hanging="0"/>
    </w:pPr>
    <w:rPr>
      <w:rFonts w:ascii="Times New Roman" w:hAnsi="Times New Roman"/>
      <w:sz w:val="20"/>
    </w:rPr>
  </w:style>
  <w:style w:type="paragraph" w:styleId="Contents6">
    <w:name w:val="TOC 6"/>
    <w:basedOn w:val="Normal"/>
    <w:next w:val="Normal"/>
    <w:autoRedefine/>
    <w:semiHidden/>
    <w:pPr>
      <w:ind w:left="1100" w:hanging="0"/>
    </w:pPr>
    <w:rPr>
      <w:rFonts w:ascii="Times New Roman" w:hAnsi="Times New Roman"/>
      <w:sz w:val="20"/>
    </w:rPr>
  </w:style>
  <w:style w:type="paragraph" w:styleId="Contents7">
    <w:name w:val="TOC 7"/>
    <w:basedOn w:val="Normal"/>
    <w:next w:val="Normal"/>
    <w:autoRedefine/>
    <w:semiHidden/>
    <w:pPr>
      <w:ind w:left="1320" w:hanging="0"/>
    </w:pPr>
    <w:rPr>
      <w:rFonts w:ascii="Times New Roman" w:hAnsi="Times New Roman"/>
      <w:sz w:val="20"/>
    </w:rPr>
  </w:style>
  <w:style w:type="paragraph" w:styleId="Contents8">
    <w:name w:val="TOC 8"/>
    <w:basedOn w:val="Normal"/>
    <w:next w:val="Normal"/>
    <w:autoRedefine/>
    <w:semiHidden/>
    <w:pPr>
      <w:ind w:left="1540" w:hanging="0"/>
    </w:pPr>
    <w:rPr>
      <w:rFonts w:ascii="Times New Roman" w:hAnsi="Times New Roman"/>
      <w:sz w:val="20"/>
    </w:rPr>
  </w:style>
  <w:style w:type="paragraph" w:styleId="Contents9">
    <w:name w:val="TOC 9"/>
    <w:basedOn w:val="Normal"/>
    <w:next w:val="Normal"/>
    <w:autoRedefine/>
    <w:semiHidden/>
    <w:pPr>
      <w:ind w:left="1760" w:hanging="0"/>
    </w:pPr>
    <w:rPr>
      <w:rFonts w:ascii="Times New Roman" w:hAnsi="Times New Roman"/>
      <w:sz w:val="20"/>
    </w:rPr>
  </w:style>
  <w:style w:type="paragraph" w:styleId="MainTitle" w:customStyle="1">
    <w:name w:val="Main Title"/>
    <w:basedOn w:val="Heading1"/>
    <w:qFormat/>
    <w:rsid w:val="00d838b4"/>
    <w:pPr>
      <w:jc w:val="center"/>
    </w:pPr>
    <w:rPr>
      <w:bCs/>
      <w:iCs w:val="false"/>
      <w:sz w:val="40"/>
    </w:rPr>
  </w:style>
  <w:style w:type="paragraph" w:styleId="BodyText2ndlevel" w:customStyle="1">
    <w:name w:val="Body Text - 2nd level"/>
    <w:basedOn w:val="Normal"/>
    <w:qFormat/>
    <w:rsid w:val="0002557f"/>
    <w:pPr>
      <w:ind w:left="1066" w:hanging="0"/>
    </w:pPr>
    <w:rPr>
      <w:sz w:val="24"/>
    </w:rPr>
  </w:style>
  <w:style w:type="paragraph" w:styleId="Bodytext1stLevel" w:customStyle="1">
    <w:name w:val="Body text - 1st Level"/>
    <w:basedOn w:val="Normal"/>
    <w:qFormat/>
    <w:rsid w:val="0002557f"/>
    <w:pPr>
      <w:ind w:left="390" w:hanging="0"/>
    </w:pPr>
    <w:rPr>
      <w:sz w:val="24"/>
    </w:rPr>
  </w:style>
  <w:style w:type="paragraph" w:styleId="NoSpacing">
    <w:name w:val="No Spacing"/>
    <w:uiPriority w:val="1"/>
    <w:qFormat/>
    <w:rsid w:val="00386207"/>
    <w:pPr>
      <w:widowControl/>
      <w:suppressAutoHyphens w:val="true"/>
      <w:bidi w:val="0"/>
      <w:spacing w:before="0" w:after="0"/>
      <w:jc w:val="left"/>
    </w:pPr>
    <w:rPr>
      <w:rFonts w:ascii="Calibri" w:hAnsi="Calibri" w:eastAsia="Times New Roman" w:cs="Times New Roman"/>
      <w:color w:val="auto"/>
      <w:kern w:val="0"/>
      <w:sz w:val="22"/>
      <w:szCs w:val="20"/>
      <w:lang w:eastAsia="en-US" w:val="en-GB" w:bidi="ar-SA"/>
    </w:rPr>
  </w:style>
  <w:style w:type="paragraph" w:styleId="ListParagraph">
    <w:name w:val="List Paragraph"/>
    <w:basedOn w:val="Normal"/>
    <w:uiPriority w:val="34"/>
    <w:qFormat/>
    <w:rsid w:val="00437c10"/>
    <w:pPr>
      <w:spacing w:before="0" w:after="0"/>
      <w:ind w:left="720" w:hanging="0"/>
      <w:contextualSpacing/>
    </w:pPr>
    <w:rPr/>
  </w:style>
  <w:style w:type="numbering" w:styleId="NoList" w:default="1">
    <w:name w:val="No List"/>
    <w:uiPriority w:val="99"/>
    <w:semiHidden/>
    <w:unhideWhenUsed/>
    <w:qFormat/>
  </w:style>
  <w:style w:type="numbering" w:styleId="NumberingMain" w:customStyle="1">
    <w:name w:val="Numbering - Main"/>
    <w:qFormat/>
    <w:rsid w:val="00620713"/>
  </w:style>
  <w:style w:type="numbering" w:styleId="Numbering2ndLevel" w:customStyle="1">
    <w:name w:val="Numbering - 2nd Level"/>
    <w:qFormat/>
    <w:rsid w:val="00891dbe"/>
  </w:style>
  <w:style w:type="numbering" w:styleId="StyleBulleted" w:customStyle="1">
    <w:name w:val="Style Bulleted"/>
    <w:qFormat/>
    <w:rsid w:val="00fa1752"/>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d78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gif"/><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LibreOffice/7.4.7.2$Windows_X86_64 LibreOffice_project/723314e595e8007d3cf785c16538505a1c878ca5</Application>
  <AppVersion>15.0000</AppVersion>
  <Pages>2</Pages>
  <Words>308</Words>
  <Characters>1713</Characters>
  <CharactersWithSpaces>1992</CharactersWithSpaces>
  <Paragraphs>42</Paragraphs>
  <Company>Basildon &amp; Thurrock GHT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2018-01-12T10:16:00Z</dcterms:created>
  <dc:creator>Katherine Reade</dc:creator>
  <dc:description/>
  <dc:language>en-GB</dc:language>
  <cp:lastModifiedBy/>
  <cp:lastPrinted>2013-05-21T17:03:00Z</cp:lastPrinted>
  <dcterms:modified xsi:type="dcterms:W3CDTF">2024-12-19T10:07:27Z</dcterms:modified>
  <cp:revision>13</cp:revision>
  <dc:subject/>
  <dc:title>Rheumatoid Factor</dc:title>
</cp:coreProperties>
</file>

<file path=docProps/custom.xml><?xml version="1.0" encoding="utf-8"?>
<Properties xmlns="http://schemas.openxmlformats.org/officeDocument/2006/custom-properties" xmlns:vt="http://schemas.openxmlformats.org/officeDocument/2006/docPropsVTypes"/>
</file>