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media/image5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7"/>
        <w:gridCol w:w="281"/>
        <w:gridCol w:w="7230"/>
      </w:tblGrid>
      <w:tr>
        <w:trPr>
          <w:trHeight w:val="621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>Prolactin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-1451610</wp:posOffset>
                  </wp:positionV>
                  <wp:extent cx="945515" cy="126746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N/A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Prolactin should be measured as part of investigations into loss of libido, infertility, menstrual disturbances and gynaecomastia. Prolactin-secreting tumours can present with visual disturbance, headache etc. Prolactin may be added on to a sample in response to suppressed pituitary hormones (LH/FSH/TSH) to investigation pituitary dysfunction.</w:t>
            </w:r>
          </w:p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The use of prolactin in providing supportive evidence for a genuine epileptic seizure is severely limited by the need for a sample within 30 minutes of the fit.  </w:t>
            </w:r>
          </w:p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Elevated prolactin levels may occur due to (the 5 Ps):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318" w:hanging="283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en-GB" w:eastAsia="en-GB" w:bidi="ar-SA"/>
              </w:rPr>
              <w:t>Physiological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- stress, exercise, lactation, pregnancy 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318" w:hanging="283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en-GB" w:eastAsia="en-GB" w:bidi="ar-SA"/>
              </w:rPr>
              <w:t>Pharmacological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- </w:t>
            </w:r>
            <w:hyperlink r:id="rId3" w:tgtFrame="_blank">
              <w:r>
                <w:rPr>
                  <w:rStyle w:val="InternetLink"/>
                  <w:rFonts w:eastAsia="Times New Roman" w:cs="Times New Roman"/>
                  <w:kern w:val="0"/>
                  <w:szCs w:val="20"/>
                  <w:lang w:val="en-GB" w:eastAsia="en-GB" w:bidi="ar-SA"/>
                </w:rPr>
                <w:t>drugs</w:t>
              </w:r>
            </w:hyperlink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, especially neuroleptics, antiemetic’s, SSRI's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left="318" w:hanging="283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en-GB" w:eastAsia="en-GB" w:bidi="ar-SA"/>
              </w:rPr>
              <w:t>Pituitary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- prolactinoma or other tumour causing stalk compression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left="318" w:hanging="283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Non-</w:t>
            </w:r>
            <w:r>
              <w:rPr>
                <w:rFonts w:eastAsia="Times New Roman" w:cs="Times New Roman"/>
                <w:b/>
                <w:kern w:val="0"/>
                <w:szCs w:val="20"/>
                <w:lang w:val="en-GB" w:eastAsia="en-GB" w:bidi="ar-SA"/>
              </w:rPr>
              <w:t xml:space="preserve">Pituitary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- PCOS, hypothyroidism, renal failure 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left="318" w:hanging="283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en-GB" w:eastAsia="en-GB" w:bidi="ar-SA"/>
              </w:rPr>
              <w:t>Problems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- </w:t>
            </w:r>
            <w:hyperlink r:id="rId4" w:tgtFrame="_blank">
              <w:r>
                <w:rPr>
                  <w:rStyle w:val="InternetLink"/>
                  <w:rFonts w:eastAsia="Times New Roman" w:cs="Times New Roman"/>
                  <w:kern w:val="0"/>
                  <w:szCs w:val="20"/>
                  <w:lang w:val="en-GB" w:eastAsia="en-GB" w:bidi="ar-SA"/>
                </w:rPr>
                <w:t>Macroprolactin</w:t>
              </w:r>
            </w:hyperlink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(non-pathological increase in apparent prolactin)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N/A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Same day (Monday to Friday)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None required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Serum</w:t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2 ml</w:t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72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0"/>
                <w:lang w:val="en-GB" w:bidi="ar-SA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2409825" cy="461645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Yellow top (SST)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Or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375410" cy="474345"/>
                  <wp:effectExtent l="0" t="0" r="0" b="0"/>
                  <wp:docPr id="3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Paediatric green top (lithium-heparin)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Or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38250" cy="342900"/>
                  <wp:effectExtent l="0" t="0" r="0" b="0"/>
                  <wp:docPr id="4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Paediatric orange top (lithium heparin) 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tbl>
            <w:tblPr>
              <w:tblStyle w:val="TableGrid"/>
              <w:tblW w:w="527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64"/>
              <w:gridCol w:w="2409"/>
            </w:tblGrid>
            <w:tr>
              <w:trPr/>
              <w:tc>
                <w:tcPr>
                  <w:tcW w:w="2864" w:type="dxa"/>
                  <w:tcBorders/>
                  <w:shd w:color="auto" w:fill="BFBFBF" w:themeFill="background1" w:themeFillShade="bf" w:val="clear"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Patient group</w:t>
                  </w:r>
                </w:p>
              </w:tc>
              <w:tc>
                <w:tcPr>
                  <w:tcW w:w="2409" w:type="dxa"/>
                  <w:tcBorders/>
                  <w:shd w:color="auto" w:fill="BFBFBF" w:themeFill="background1" w:themeFillShade="bf" w:val="clear"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Prolactin (mU/L)</w:t>
                  </w:r>
                </w:p>
              </w:tc>
            </w:tr>
            <w:tr>
              <w:trPr/>
              <w:tc>
                <w:tcPr>
                  <w:tcW w:w="2864" w:type="dxa"/>
                  <w:tcBorders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Women – Pre Menopausal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71 – 566</w:t>
                  </w:r>
                </w:p>
              </w:tc>
            </w:tr>
            <w:tr>
              <w:trPr/>
              <w:tc>
                <w:tcPr>
                  <w:tcW w:w="2864" w:type="dxa"/>
                  <w:tcBorders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Women – Post Menopausal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58 – 416</w:t>
                  </w:r>
                </w:p>
              </w:tc>
            </w:tr>
            <w:tr>
              <w:trPr/>
              <w:tc>
                <w:tcPr>
                  <w:tcW w:w="2864" w:type="dxa"/>
                  <w:tcBorders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Males</w:t>
                  </w:r>
                </w:p>
              </w:tc>
              <w:tc>
                <w:tcPr>
                  <w:tcW w:w="2409" w:type="dxa"/>
                  <w:tcBorders/>
                </w:tcPr>
                <w:p>
                  <w:pPr>
                    <w:pStyle w:val="NoSpacing"/>
                    <w:widowControl/>
                    <w:suppressAutoHyphens w:val="true"/>
                    <w:spacing w:before="0" w:after="0"/>
                    <w:jc w:val="left"/>
                    <w:rPr>
                      <w:lang w:eastAsia="en-GB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val="en-GB" w:eastAsia="en-GB" w:bidi="ar-SA"/>
                    </w:rPr>
                    <w:t>&lt;278</w:t>
                  </w:r>
                </w:p>
              </w:tc>
            </w:tr>
          </w:tbl>
          <w:p>
            <w:pPr>
              <w:pStyle w:val="NoSpacing"/>
              <w:widowControl w:val="false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Reference: Beckman kit insert</w:t>
            </w:r>
          </w:p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All first occasion samples with prolactin levels above 700 mU/L will be screened for presence of Macroprolactin.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Prolactin levels above 500 mU/L (if macroprolactin screen negative) or calculated monomeric prolactin levels above 500 mU/L (if macroprolactin screen positive) may be of pathological significance, but must be interpreted in the light of clinical details and drug therapy (see above).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PRL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Analysed from primary tube and stored at 4°C.</w:t>
            </w:r>
          </w:p>
        </w:tc>
      </w:tr>
    </w:tbl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highlight w:val="yellow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</w:t>
    </w:r>
    <w:r>
      <w:rPr>
        <w:b/>
        <w:bCs/>
        <w:sz w:val="16"/>
      </w:rPr>
      <w:t>6</w:t>
    </w:r>
    <w:r>
      <w:rPr>
        <w:b/>
        <w:bCs/>
        <w:sz w:val="16"/>
      </w:rPr>
      <w:t xml:space="preserve"> / </w:t>
    </w:r>
    <w:r>
      <w:rPr>
        <w:b/>
        <w:bCs/>
        <w:sz w:val="16"/>
      </w:rPr>
      <w:t>December</w:t>
    </w:r>
    <w:r>
      <w:rPr>
        <w:b/>
        <w:bCs/>
        <w:sz w:val="16"/>
      </w:rPr>
      <w:t xml:space="preserve"> 202</w:t>
    </w:r>
    <w:r>
      <w:rPr>
        <w:b/>
        <w:bCs/>
        <w:sz w:val="16"/>
      </w:rPr>
      <w:t>4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83995" cy="498475"/>
          <wp:effectExtent l="0" t="0" r="0" b="0"/>
          <wp:wrapNone/>
          <wp:docPr id="5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PF-PTD-255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character" w:styleId="InternetLink">
    <w:name w:val="Hyperlink"/>
    <w:basedOn w:val="DefaultParagraphFont"/>
    <w:rsid w:val="00981a17"/>
    <w:rPr>
      <w:color w:val="0563C1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14167.gael-config.net/QPulseDocumentService/Documents.svc/documents/active/attachment?number=PF-PIP-12" TargetMode="External"/><Relationship Id="rId4" Type="http://schemas.openxmlformats.org/officeDocument/2006/relationships/hyperlink" Target="https://g14167.gael-config.net/QPulseDocumentService/Documents.svc/documents/active/attachment?number=PF-PTD-205" TargetMode="External"/><Relationship Id="rId5" Type="http://schemas.openxmlformats.org/officeDocument/2006/relationships/image" Target="media/image2.gif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LibreOffice/7.4.7.2$Windows_X86_64 LibreOffice_project/723314e595e8007d3cf785c16538505a1c878ca5</Application>
  <AppVersion>15.0000</AppVersion>
  <Pages>2</Pages>
  <Words>306</Words>
  <Characters>1816</Characters>
  <CharactersWithSpaces>2080</CharactersWithSpaces>
  <Paragraphs>53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2018-01-12T09:12:00Z</dcterms:created>
  <dc:creator>Katherine Reade</dc:creator>
  <dc:description/>
  <dc:language>en-GB</dc:language>
  <cp:lastModifiedBy/>
  <cp:lastPrinted>2013-05-21T17:03:00Z</cp:lastPrinted>
  <dcterms:modified xsi:type="dcterms:W3CDTF">2024-12-19T10:04:11Z</dcterms:modified>
  <cp:revision>15</cp:revision>
  <dc:subject/>
  <dc:title>Prolactin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