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B4BE" w14:textId="3CEF126E" w:rsidR="000319DA" w:rsidRPr="000319DA" w:rsidRDefault="0040664D" w:rsidP="0040664D">
      <w:pPr>
        <w:jc w:val="center"/>
      </w:pPr>
      <w:r w:rsidRPr="0040664D">
        <w:rPr>
          <w:rFonts w:eastAsia="Calibri"/>
          <w:noProof/>
          <w:kern w:val="2"/>
          <w:szCs w:val="22"/>
        </w:rPr>
        <w:drawing>
          <wp:inline distT="0" distB="0" distL="0" distR="0" wp14:anchorId="43C32F41" wp14:editId="401E45BC">
            <wp:extent cx="609600" cy="820616"/>
            <wp:effectExtent l="0" t="0" r="0" b="0"/>
            <wp:docPr id="843487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87542" name=""/>
                    <pic:cNvPicPr/>
                  </pic:nvPicPr>
                  <pic:blipFill>
                    <a:blip r:embed="rId8"/>
                    <a:stretch>
                      <a:fillRect/>
                    </a:stretch>
                  </pic:blipFill>
                  <pic:spPr>
                    <a:xfrm>
                      <a:off x="0" y="0"/>
                      <a:ext cx="613574" cy="825966"/>
                    </a:xfrm>
                    <a:prstGeom prst="rect">
                      <a:avLst/>
                    </a:prstGeom>
                  </pic:spPr>
                </pic:pic>
              </a:graphicData>
            </a:graphic>
          </wp:inline>
        </w:drawing>
      </w:r>
    </w:p>
    <w:tbl>
      <w:tblPr>
        <w:tblStyle w:val="TableGrid"/>
        <w:tblW w:w="106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35"/>
        <w:gridCol w:w="283"/>
        <w:gridCol w:w="7229"/>
      </w:tblGrid>
      <w:tr w:rsidR="009F0B13" w14:paraId="04ADF945" w14:textId="77777777" w:rsidTr="00FD1754">
        <w:trPr>
          <w:trHeight w:val="762"/>
        </w:trPr>
        <w:tc>
          <w:tcPr>
            <w:tcW w:w="10631" w:type="dxa"/>
            <w:gridSpan w:val="4"/>
          </w:tcPr>
          <w:p w14:paraId="1B46C2DB" w14:textId="0C144896" w:rsidR="009F0B13" w:rsidRPr="00FD1754" w:rsidRDefault="008361C9" w:rsidP="00182390">
            <w:pPr>
              <w:tabs>
                <w:tab w:val="left" w:pos="7125"/>
              </w:tabs>
              <w:rPr>
                <w:b/>
                <w:sz w:val="36"/>
              </w:rPr>
            </w:pPr>
            <w:r w:rsidRPr="00FD1754">
              <w:rPr>
                <w:b/>
                <w:sz w:val="36"/>
              </w:rPr>
              <w:t xml:space="preserve">Neisseria </w:t>
            </w:r>
            <w:r w:rsidR="00FD1754" w:rsidRPr="00FD1754">
              <w:rPr>
                <w:b/>
                <w:sz w:val="36"/>
              </w:rPr>
              <w:t>Gonorrhoeae D</w:t>
            </w:r>
            <w:r w:rsidR="00FC7CB7">
              <w:rPr>
                <w:b/>
                <w:sz w:val="36"/>
              </w:rPr>
              <w:t>etection</w:t>
            </w:r>
            <w:r w:rsidR="00182390">
              <w:rPr>
                <w:b/>
                <w:sz w:val="36"/>
              </w:rPr>
              <w:tab/>
            </w:r>
          </w:p>
        </w:tc>
      </w:tr>
      <w:tr w:rsidR="009F0B13" w:rsidRPr="00F23565" w14:paraId="333D5CA2" w14:textId="77777777" w:rsidTr="009F0B13">
        <w:tc>
          <w:tcPr>
            <w:tcW w:w="3119" w:type="dxa"/>
            <w:gridSpan w:val="2"/>
            <w:shd w:val="clear" w:color="auto" w:fill="D9D9D9" w:themeFill="background1" w:themeFillShade="D9"/>
          </w:tcPr>
          <w:p w14:paraId="214077E7" w14:textId="77777777" w:rsidR="00BA2D6B" w:rsidRPr="00276E72" w:rsidRDefault="00BA2D6B" w:rsidP="004F3E2E">
            <w:pPr>
              <w:spacing w:line="360" w:lineRule="auto"/>
              <w:rPr>
                <w:b/>
                <w:sz w:val="24"/>
              </w:rPr>
            </w:pPr>
            <w:r w:rsidRPr="00276E72">
              <w:rPr>
                <w:b/>
                <w:sz w:val="24"/>
              </w:rPr>
              <w:t>Synonyms</w:t>
            </w:r>
          </w:p>
        </w:tc>
        <w:tc>
          <w:tcPr>
            <w:tcW w:w="283" w:type="dxa"/>
            <w:shd w:val="clear" w:color="auto" w:fill="auto"/>
          </w:tcPr>
          <w:p w14:paraId="4144965C" w14:textId="77777777" w:rsidR="00BA2D6B" w:rsidRDefault="00BA2D6B" w:rsidP="004F3E2E">
            <w:pPr>
              <w:spacing w:line="360" w:lineRule="auto"/>
            </w:pPr>
          </w:p>
        </w:tc>
        <w:tc>
          <w:tcPr>
            <w:tcW w:w="7229" w:type="dxa"/>
            <w:shd w:val="clear" w:color="auto" w:fill="D9D9D9" w:themeFill="background1" w:themeFillShade="D9"/>
          </w:tcPr>
          <w:p w14:paraId="7F491F29" w14:textId="54ECA568" w:rsidR="00BA2D6B" w:rsidRPr="0040664D" w:rsidRDefault="0040664D" w:rsidP="004F3E2E">
            <w:pPr>
              <w:spacing w:line="360" w:lineRule="auto"/>
              <w:rPr>
                <w:rFonts w:asciiTheme="minorHAnsi" w:hAnsiTheme="minorHAnsi"/>
                <w:color w:val="0070C0"/>
                <w:szCs w:val="22"/>
              </w:rPr>
            </w:pPr>
            <w:r w:rsidRPr="0040664D">
              <w:rPr>
                <w:rFonts w:asciiTheme="minorHAnsi" w:hAnsiTheme="minorHAnsi"/>
                <w:color w:val="0070C0"/>
                <w:szCs w:val="22"/>
              </w:rPr>
              <w:t>GC testing, Gonorrhoeae detection, CGC</w:t>
            </w:r>
          </w:p>
        </w:tc>
      </w:tr>
      <w:tr w:rsidR="00BA2D6B" w:rsidRPr="00F23565" w14:paraId="2270430F" w14:textId="77777777" w:rsidTr="009F0B13">
        <w:tc>
          <w:tcPr>
            <w:tcW w:w="3119" w:type="dxa"/>
            <w:gridSpan w:val="2"/>
          </w:tcPr>
          <w:p w14:paraId="54178CB1" w14:textId="77777777" w:rsidR="00BA2D6B" w:rsidRPr="00276E72" w:rsidRDefault="00BA2D6B" w:rsidP="004F3E2E">
            <w:pPr>
              <w:spacing w:line="360" w:lineRule="auto"/>
              <w:rPr>
                <w:b/>
                <w:sz w:val="24"/>
              </w:rPr>
            </w:pPr>
            <w:r w:rsidRPr="00276E72">
              <w:rPr>
                <w:b/>
                <w:sz w:val="24"/>
              </w:rPr>
              <w:t>Clinical Indication</w:t>
            </w:r>
          </w:p>
        </w:tc>
        <w:tc>
          <w:tcPr>
            <w:tcW w:w="283" w:type="dxa"/>
            <w:shd w:val="clear" w:color="auto" w:fill="auto"/>
          </w:tcPr>
          <w:p w14:paraId="267D33F9" w14:textId="77777777" w:rsidR="00BA2D6B" w:rsidRDefault="00BA2D6B" w:rsidP="004F3E2E">
            <w:pPr>
              <w:spacing w:line="360" w:lineRule="auto"/>
            </w:pPr>
          </w:p>
        </w:tc>
        <w:tc>
          <w:tcPr>
            <w:tcW w:w="7229" w:type="dxa"/>
          </w:tcPr>
          <w:p w14:paraId="2C3FB0D9" w14:textId="0A34573A" w:rsidR="00BA2D6B" w:rsidRPr="0060596E" w:rsidRDefault="00FD1754" w:rsidP="005F62AD">
            <w:pPr>
              <w:autoSpaceDE w:val="0"/>
              <w:autoSpaceDN w:val="0"/>
              <w:adjustRightInd w:val="0"/>
              <w:spacing w:before="100" w:after="100" w:line="240" w:lineRule="auto"/>
              <w:rPr>
                <w:rFonts w:asciiTheme="minorHAnsi" w:hAnsiTheme="minorHAnsi"/>
                <w:szCs w:val="22"/>
                <w:lang w:eastAsia="en-GB"/>
              </w:rPr>
            </w:pPr>
            <w:r w:rsidRPr="008361C9">
              <w:t xml:space="preserve">Detection of Neisseria gonorrhoeae by </w:t>
            </w:r>
            <w:r w:rsidR="005F62AD">
              <w:t>target amplification nucleic acid assay that utilizes target capture for in vitro qualitative detection of ribosomal RNA from Neisseria gonorrhoea to aid the detection of gonococcal urogenital disease.</w:t>
            </w:r>
          </w:p>
        </w:tc>
      </w:tr>
      <w:tr w:rsidR="009F0B13" w:rsidRPr="00F23565" w14:paraId="35C956ED" w14:textId="77777777" w:rsidTr="009F0B13">
        <w:tc>
          <w:tcPr>
            <w:tcW w:w="3119" w:type="dxa"/>
            <w:gridSpan w:val="2"/>
            <w:shd w:val="clear" w:color="auto" w:fill="D9D9D9" w:themeFill="background1" w:themeFillShade="D9"/>
          </w:tcPr>
          <w:p w14:paraId="47C96234" w14:textId="77777777" w:rsidR="00BA2D6B" w:rsidRPr="00276E72" w:rsidRDefault="00BA2D6B" w:rsidP="004F3E2E">
            <w:pPr>
              <w:spacing w:line="360" w:lineRule="auto"/>
              <w:rPr>
                <w:b/>
                <w:sz w:val="24"/>
              </w:rPr>
            </w:pPr>
            <w:r w:rsidRPr="00276E72">
              <w:rPr>
                <w:b/>
                <w:sz w:val="24"/>
              </w:rPr>
              <w:t>Part of Profile / See Also</w:t>
            </w:r>
          </w:p>
        </w:tc>
        <w:tc>
          <w:tcPr>
            <w:tcW w:w="283" w:type="dxa"/>
            <w:shd w:val="clear" w:color="auto" w:fill="auto"/>
          </w:tcPr>
          <w:p w14:paraId="13C930DF" w14:textId="77777777" w:rsidR="00BA2D6B" w:rsidRDefault="00BA2D6B" w:rsidP="004F3E2E">
            <w:pPr>
              <w:spacing w:line="360" w:lineRule="auto"/>
            </w:pPr>
          </w:p>
        </w:tc>
        <w:tc>
          <w:tcPr>
            <w:tcW w:w="7229" w:type="dxa"/>
            <w:shd w:val="clear" w:color="auto" w:fill="D9D9D9" w:themeFill="background1" w:themeFillShade="D9"/>
          </w:tcPr>
          <w:p w14:paraId="28649588" w14:textId="2F5E30E9" w:rsidR="00BA2D6B" w:rsidRPr="0060596E" w:rsidRDefault="00BA2D6B" w:rsidP="008361C9">
            <w:pPr>
              <w:pStyle w:val="NoSpacing"/>
            </w:pPr>
          </w:p>
        </w:tc>
      </w:tr>
      <w:tr w:rsidR="00FD1754" w:rsidRPr="00F23565" w14:paraId="469A3BEF" w14:textId="77777777" w:rsidTr="009F0B13">
        <w:tc>
          <w:tcPr>
            <w:tcW w:w="3119" w:type="dxa"/>
            <w:gridSpan w:val="2"/>
          </w:tcPr>
          <w:p w14:paraId="081897BF" w14:textId="77777777" w:rsidR="00FD1754" w:rsidRPr="00276E72" w:rsidRDefault="00FD1754" w:rsidP="00FD1754">
            <w:pPr>
              <w:spacing w:line="360" w:lineRule="auto"/>
              <w:rPr>
                <w:b/>
                <w:sz w:val="24"/>
              </w:rPr>
            </w:pPr>
            <w:r>
              <w:rPr>
                <w:b/>
                <w:sz w:val="24"/>
              </w:rPr>
              <w:t>Request F</w:t>
            </w:r>
            <w:r w:rsidRPr="00276E72">
              <w:rPr>
                <w:b/>
                <w:sz w:val="24"/>
              </w:rPr>
              <w:t>o</w:t>
            </w:r>
            <w:r>
              <w:rPr>
                <w:b/>
                <w:sz w:val="24"/>
              </w:rPr>
              <w:t>r</w:t>
            </w:r>
            <w:r w:rsidRPr="00276E72">
              <w:rPr>
                <w:b/>
                <w:sz w:val="24"/>
              </w:rPr>
              <w:t>m</w:t>
            </w:r>
          </w:p>
        </w:tc>
        <w:tc>
          <w:tcPr>
            <w:tcW w:w="283" w:type="dxa"/>
            <w:shd w:val="clear" w:color="auto" w:fill="auto"/>
          </w:tcPr>
          <w:p w14:paraId="32821F1A" w14:textId="77777777" w:rsidR="00FD1754" w:rsidRDefault="00FD1754" w:rsidP="00FD1754">
            <w:pPr>
              <w:spacing w:line="360" w:lineRule="auto"/>
            </w:pPr>
          </w:p>
        </w:tc>
        <w:tc>
          <w:tcPr>
            <w:tcW w:w="7229" w:type="dxa"/>
          </w:tcPr>
          <w:p w14:paraId="44F0026F" w14:textId="785A7433" w:rsidR="00FD1754" w:rsidRPr="0060596E" w:rsidRDefault="00FD1754" w:rsidP="00FD1754">
            <w:pPr>
              <w:pStyle w:val="NoSpacing"/>
              <w:rPr>
                <w:lang w:eastAsia="en-GB"/>
              </w:rPr>
            </w:pPr>
            <w:r>
              <w:rPr>
                <w:lang w:eastAsia="en-GB"/>
              </w:rPr>
              <w:t>Microbiology or combined Pathology manual request</w:t>
            </w:r>
            <w:r w:rsidRPr="00EF13B6">
              <w:rPr>
                <w:lang w:eastAsia="en-GB"/>
              </w:rPr>
              <w:t xml:space="preserve"> form </w:t>
            </w:r>
            <w:r>
              <w:rPr>
                <w:lang w:eastAsia="en-GB"/>
              </w:rPr>
              <w:t>or ICE request</w:t>
            </w:r>
            <w:r w:rsidR="0040664D">
              <w:rPr>
                <w:lang w:eastAsia="en-GB"/>
              </w:rPr>
              <w:t xml:space="preserve">. </w:t>
            </w:r>
            <w:r w:rsidR="0040664D" w:rsidRPr="0040664D">
              <w:rPr>
                <w:color w:val="0070C0"/>
                <w:lang w:eastAsia="en-GB"/>
              </w:rPr>
              <w:t xml:space="preserve">Electronic </w:t>
            </w:r>
            <w:proofErr w:type="gramStart"/>
            <w:r w:rsidR="0040664D" w:rsidRPr="0040664D">
              <w:rPr>
                <w:color w:val="0070C0"/>
                <w:lang w:eastAsia="en-GB"/>
              </w:rPr>
              <w:t>request</w:t>
            </w:r>
            <w:proofErr w:type="gramEnd"/>
            <w:r w:rsidR="0040664D" w:rsidRPr="0040664D">
              <w:rPr>
                <w:color w:val="0070C0"/>
                <w:lang w:eastAsia="en-GB"/>
              </w:rPr>
              <w:t xml:space="preserve"> are preferred.</w:t>
            </w:r>
            <w:r w:rsidR="0040664D">
              <w:rPr>
                <w:lang w:eastAsia="en-GB"/>
              </w:rPr>
              <w:t xml:space="preserve"> </w:t>
            </w:r>
          </w:p>
        </w:tc>
      </w:tr>
      <w:tr w:rsidR="00BA2D6B" w:rsidRPr="00F23565" w14:paraId="18A63467" w14:textId="77777777" w:rsidTr="00BA2D6B">
        <w:tc>
          <w:tcPr>
            <w:tcW w:w="3119" w:type="dxa"/>
            <w:gridSpan w:val="2"/>
            <w:shd w:val="clear" w:color="auto" w:fill="D9D9D9" w:themeFill="background1" w:themeFillShade="D9"/>
          </w:tcPr>
          <w:p w14:paraId="25FA10F9" w14:textId="77777777" w:rsidR="00BA2D6B" w:rsidRPr="00276E72" w:rsidRDefault="00BA2D6B" w:rsidP="004F3E2E">
            <w:pPr>
              <w:spacing w:line="360" w:lineRule="auto"/>
              <w:rPr>
                <w:b/>
                <w:sz w:val="24"/>
              </w:rPr>
            </w:pPr>
            <w:r>
              <w:rPr>
                <w:b/>
                <w:sz w:val="24"/>
              </w:rPr>
              <w:t>Availability / Frequency of Analysis</w:t>
            </w:r>
          </w:p>
        </w:tc>
        <w:tc>
          <w:tcPr>
            <w:tcW w:w="283" w:type="dxa"/>
            <w:shd w:val="clear" w:color="auto" w:fill="auto"/>
          </w:tcPr>
          <w:p w14:paraId="0569EF6F" w14:textId="77777777" w:rsidR="00BA2D6B" w:rsidRDefault="00BA2D6B" w:rsidP="004F3E2E">
            <w:pPr>
              <w:spacing w:line="360" w:lineRule="auto"/>
            </w:pPr>
          </w:p>
        </w:tc>
        <w:tc>
          <w:tcPr>
            <w:tcW w:w="7229" w:type="dxa"/>
            <w:shd w:val="clear" w:color="auto" w:fill="D9D9D9" w:themeFill="background1" w:themeFillShade="D9"/>
          </w:tcPr>
          <w:p w14:paraId="4C133A08" w14:textId="27311805" w:rsidR="00BA2D6B" w:rsidRPr="0060596E" w:rsidRDefault="008361C9" w:rsidP="00BA2D6B">
            <w:pPr>
              <w:autoSpaceDE w:val="0"/>
              <w:autoSpaceDN w:val="0"/>
              <w:adjustRightInd w:val="0"/>
              <w:spacing w:before="100" w:after="100" w:line="240" w:lineRule="auto"/>
              <w:rPr>
                <w:rFonts w:asciiTheme="minorHAnsi" w:hAnsiTheme="minorHAnsi"/>
                <w:szCs w:val="22"/>
                <w:lang w:eastAsia="en-GB"/>
              </w:rPr>
            </w:pPr>
            <w:r w:rsidRPr="008361C9">
              <w:rPr>
                <w:rFonts w:asciiTheme="minorHAnsi" w:hAnsiTheme="minorHAnsi"/>
                <w:szCs w:val="22"/>
                <w:lang w:eastAsia="en-GB"/>
              </w:rPr>
              <w:t>On request during normal working hours</w:t>
            </w:r>
          </w:p>
        </w:tc>
      </w:tr>
      <w:tr w:rsidR="00BA2D6B" w:rsidRPr="00F23565" w14:paraId="31456359" w14:textId="77777777" w:rsidTr="00BA2D6B">
        <w:tc>
          <w:tcPr>
            <w:tcW w:w="3119" w:type="dxa"/>
            <w:gridSpan w:val="2"/>
          </w:tcPr>
          <w:p w14:paraId="3B3511AF" w14:textId="77777777" w:rsidR="00BA2D6B" w:rsidRPr="00276E72" w:rsidRDefault="00BA2D6B" w:rsidP="004F3E2E">
            <w:pPr>
              <w:spacing w:line="360" w:lineRule="auto"/>
              <w:rPr>
                <w:b/>
                <w:sz w:val="24"/>
              </w:rPr>
            </w:pPr>
            <w:r w:rsidRPr="00276E72">
              <w:rPr>
                <w:b/>
                <w:sz w:val="24"/>
              </w:rPr>
              <w:t>Turnaround Time</w:t>
            </w:r>
          </w:p>
        </w:tc>
        <w:tc>
          <w:tcPr>
            <w:tcW w:w="283" w:type="dxa"/>
            <w:shd w:val="clear" w:color="auto" w:fill="auto"/>
          </w:tcPr>
          <w:p w14:paraId="7DF43E3D" w14:textId="77777777" w:rsidR="00BA2D6B" w:rsidRDefault="00BA2D6B" w:rsidP="004F3E2E">
            <w:pPr>
              <w:spacing w:line="360" w:lineRule="auto"/>
            </w:pPr>
          </w:p>
        </w:tc>
        <w:tc>
          <w:tcPr>
            <w:tcW w:w="7229" w:type="dxa"/>
          </w:tcPr>
          <w:p w14:paraId="1E0497EF" w14:textId="70FD9A87" w:rsidR="00BA2D6B" w:rsidRPr="0060596E" w:rsidRDefault="008361C9" w:rsidP="008361C9">
            <w:pPr>
              <w:pStyle w:val="NoSpacing"/>
            </w:pPr>
            <w:r w:rsidRPr="008361C9">
              <w:t>Re</w:t>
            </w:r>
            <w:r w:rsidR="009B2AD2">
              <w:t xml:space="preserve">sults will be available within </w:t>
            </w:r>
            <w:r w:rsidR="0040664D" w:rsidRPr="0040664D">
              <w:rPr>
                <w:color w:val="0070C0"/>
              </w:rPr>
              <w:t>3</w:t>
            </w:r>
            <w:r w:rsidRPr="0040664D">
              <w:rPr>
                <w:color w:val="0070C0"/>
              </w:rPr>
              <w:t xml:space="preserve"> </w:t>
            </w:r>
            <w:r w:rsidRPr="008361C9">
              <w:t>working days of receipt of sample in the laboratory</w:t>
            </w:r>
          </w:p>
        </w:tc>
      </w:tr>
      <w:tr w:rsidR="00BA2D6B" w:rsidRPr="00F23565" w14:paraId="715C857C" w14:textId="77777777" w:rsidTr="00BA2D6B">
        <w:tc>
          <w:tcPr>
            <w:tcW w:w="3119" w:type="dxa"/>
            <w:gridSpan w:val="2"/>
            <w:shd w:val="clear" w:color="auto" w:fill="D9D9D9" w:themeFill="background1" w:themeFillShade="D9"/>
          </w:tcPr>
          <w:p w14:paraId="4E0117A9" w14:textId="77777777" w:rsidR="00BA2D6B" w:rsidRPr="00276E72" w:rsidRDefault="00BA2D6B" w:rsidP="004F3E2E">
            <w:pPr>
              <w:spacing w:line="360" w:lineRule="auto"/>
              <w:rPr>
                <w:b/>
                <w:sz w:val="24"/>
              </w:rPr>
            </w:pPr>
            <w:r w:rsidRPr="00276E72">
              <w:rPr>
                <w:b/>
                <w:sz w:val="24"/>
              </w:rPr>
              <w:t>Patient Preparation</w:t>
            </w:r>
          </w:p>
        </w:tc>
        <w:tc>
          <w:tcPr>
            <w:tcW w:w="283" w:type="dxa"/>
            <w:shd w:val="clear" w:color="auto" w:fill="auto"/>
          </w:tcPr>
          <w:p w14:paraId="1AF58F6E" w14:textId="77777777" w:rsidR="00BA2D6B" w:rsidRDefault="00BA2D6B" w:rsidP="004F3E2E">
            <w:pPr>
              <w:spacing w:line="360" w:lineRule="auto"/>
            </w:pPr>
          </w:p>
        </w:tc>
        <w:tc>
          <w:tcPr>
            <w:tcW w:w="7229" w:type="dxa"/>
            <w:shd w:val="clear" w:color="auto" w:fill="D9D9D9" w:themeFill="background1" w:themeFillShade="D9"/>
          </w:tcPr>
          <w:p w14:paraId="598C2B0D" w14:textId="379435D8" w:rsidR="00BA2D6B" w:rsidRPr="0060596E" w:rsidRDefault="00BA2D6B" w:rsidP="004F3E2E">
            <w:pPr>
              <w:spacing w:line="360" w:lineRule="auto"/>
              <w:rPr>
                <w:rFonts w:asciiTheme="minorHAnsi" w:hAnsiTheme="minorHAnsi"/>
                <w:szCs w:val="22"/>
              </w:rPr>
            </w:pPr>
          </w:p>
        </w:tc>
      </w:tr>
      <w:tr w:rsidR="00BA2D6B" w:rsidRPr="00F23565" w14:paraId="0B7224F0" w14:textId="77777777" w:rsidTr="00BA2D6B">
        <w:tc>
          <w:tcPr>
            <w:tcW w:w="3119" w:type="dxa"/>
            <w:gridSpan w:val="2"/>
          </w:tcPr>
          <w:p w14:paraId="0579D83E" w14:textId="77777777" w:rsidR="00BA2D6B" w:rsidRPr="00276E72" w:rsidRDefault="00BA2D6B" w:rsidP="004F3E2E">
            <w:pPr>
              <w:spacing w:line="360" w:lineRule="auto"/>
              <w:rPr>
                <w:b/>
                <w:sz w:val="24"/>
              </w:rPr>
            </w:pPr>
            <w:r w:rsidRPr="00276E72">
              <w:rPr>
                <w:b/>
                <w:sz w:val="24"/>
              </w:rPr>
              <w:t>Sample Requirements</w:t>
            </w:r>
          </w:p>
        </w:tc>
        <w:tc>
          <w:tcPr>
            <w:tcW w:w="283" w:type="dxa"/>
            <w:shd w:val="clear" w:color="auto" w:fill="auto"/>
          </w:tcPr>
          <w:p w14:paraId="2E696F1B" w14:textId="77777777" w:rsidR="00BA2D6B" w:rsidRDefault="00BA2D6B" w:rsidP="004F3E2E">
            <w:pPr>
              <w:spacing w:line="360" w:lineRule="auto"/>
            </w:pPr>
          </w:p>
        </w:tc>
        <w:tc>
          <w:tcPr>
            <w:tcW w:w="7229" w:type="dxa"/>
          </w:tcPr>
          <w:p w14:paraId="1DD83B92" w14:textId="77777777" w:rsidR="00BA2D6B" w:rsidRPr="0060596E" w:rsidRDefault="00BA2D6B" w:rsidP="004F3E2E">
            <w:pPr>
              <w:spacing w:line="360" w:lineRule="auto"/>
              <w:rPr>
                <w:rFonts w:asciiTheme="minorHAnsi" w:hAnsiTheme="minorHAnsi"/>
                <w:szCs w:val="22"/>
              </w:rPr>
            </w:pPr>
          </w:p>
        </w:tc>
      </w:tr>
      <w:tr w:rsidR="00BA2D6B" w:rsidRPr="00F23565" w14:paraId="5E8E44F8" w14:textId="77777777" w:rsidTr="00BA2D6B">
        <w:trPr>
          <w:gridBefore w:val="1"/>
          <w:wBefore w:w="284" w:type="dxa"/>
        </w:trPr>
        <w:tc>
          <w:tcPr>
            <w:tcW w:w="2835" w:type="dxa"/>
          </w:tcPr>
          <w:p w14:paraId="34FFB6F2" w14:textId="77777777" w:rsidR="00BA2D6B" w:rsidRPr="00276E72" w:rsidRDefault="00BA2D6B" w:rsidP="004F3E2E">
            <w:pPr>
              <w:spacing w:line="360" w:lineRule="auto"/>
              <w:rPr>
                <w:b/>
                <w:sz w:val="24"/>
              </w:rPr>
            </w:pPr>
            <w:r>
              <w:rPr>
                <w:b/>
                <w:sz w:val="24"/>
              </w:rPr>
              <w:t>Specimen</w:t>
            </w:r>
            <w:r w:rsidRPr="00276E72">
              <w:rPr>
                <w:b/>
                <w:sz w:val="24"/>
              </w:rPr>
              <w:t xml:space="preserve"> Type</w:t>
            </w:r>
          </w:p>
        </w:tc>
        <w:tc>
          <w:tcPr>
            <w:tcW w:w="283" w:type="dxa"/>
            <w:shd w:val="clear" w:color="auto" w:fill="auto"/>
          </w:tcPr>
          <w:p w14:paraId="511A3EC0" w14:textId="77777777" w:rsidR="00BA2D6B" w:rsidRDefault="00BA2D6B" w:rsidP="004F3E2E">
            <w:pPr>
              <w:spacing w:line="360" w:lineRule="auto"/>
            </w:pPr>
          </w:p>
        </w:tc>
        <w:tc>
          <w:tcPr>
            <w:tcW w:w="7229" w:type="dxa"/>
          </w:tcPr>
          <w:p w14:paraId="76E6279C" w14:textId="0AF528EC" w:rsidR="00FD1754" w:rsidRDefault="008361C9" w:rsidP="008361C9">
            <w:pPr>
              <w:pStyle w:val="NoSpacing"/>
            </w:pPr>
            <w:r w:rsidRPr="008361C9">
              <w:t xml:space="preserve">Cervical and/or urethral swabs from female patients, urethral swabs from male patients. </w:t>
            </w:r>
          </w:p>
          <w:p w14:paraId="768A8008" w14:textId="77777777" w:rsidR="00FD1754" w:rsidRDefault="00FD1754" w:rsidP="008361C9">
            <w:pPr>
              <w:pStyle w:val="NoSpacing"/>
            </w:pPr>
          </w:p>
          <w:p w14:paraId="3A5EB68E" w14:textId="77777777" w:rsidR="00BA2D6B" w:rsidRPr="0060596E" w:rsidRDefault="008361C9" w:rsidP="00334A4B">
            <w:pPr>
              <w:pStyle w:val="NoSpacing"/>
            </w:pPr>
            <w:r w:rsidRPr="008361C9">
              <w:t xml:space="preserve">Urine samples can also be used for Neisseria </w:t>
            </w:r>
            <w:r w:rsidR="005F62AD" w:rsidRPr="008361C9">
              <w:t>gonorrhoeae detection</w:t>
            </w:r>
            <w:r w:rsidRPr="008361C9">
              <w:t xml:space="preserve"> in male patients (see collection below). The assay is </w:t>
            </w:r>
            <w:r w:rsidRPr="00FD1754">
              <w:rPr>
                <w:b/>
              </w:rPr>
              <w:t>NOT</w:t>
            </w:r>
            <w:r w:rsidR="00334A4B">
              <w:t xml:space="preserve"> validated for eye or rectal </w:t>
            </w:r>
            <w:r w:rsidRPr="008361C9">
              <w:t>samples.</w:t>
            </w:r>
          </w:p>
        </w:tc>
      </w:tr>
      <w:tr w:rsidR="00BA2D6B" w:rsidRPr="00F23565" w14:paraId="54993324" w14:textId="77777777" w:rsidTr="00BA2D6B">
        <w:trPr>
          <w:gridBefore w:val="1"/>
          <w:wBefore w:w="284" w:type="dxa"/>
        </w:trPr>
        <w:tc>
          <w:tcPr>
            <w:tcW w:w="2835" w:type="dxa"/>
          </w:tcPr>
          <w:p w14:paraId="12F8C0B4" w14:textId="77777777" w:rsidR="00BA2D6B" w:rsidRPr="00276E72" w:rsidRDefault="00BA2D6B" w:rsidP="004F3E2E">
            <w:pPr>
              <w:spacing w:line="360" w:lineRule="auto"/>
              <w:rPr>
                <w:b/>
                <w:sz w:val="24"/>
              </w:rPr>
            </w:pPr>
            <w:r w:rsidRPr="00276E72">
              <w:rPr>
                <w:b/>
                <w:sz w:val="24"/>
              </w:rPr>
              <w:t>Volume</w:t>
            </w:r>
          </w:p>
        </w:tc>
        <w:tc>
          <w:tcPr>
            <w:tcW w:w="283" w:type="dxa"/>
            <w:shd w:val="clear" w:color="auto" w:fill="auto"/>
          </w:tcPr>
          <w:p w14:paraId="6C056E5D" w14:textId="77777777" w:rsidR="00BA2D6B" w:rsidRDefault="00BA2D6B" w:rsidP="004F3E2E">
            <w:pPr>
              <w:spacing w:line="360" w:lineRule="auto"/>
            </w:pPr>
          </w:p>
        </w:tc>
        <w:tc>
          <w:tcPr>
            <w:tcW w:w="7229" w:type="dxa"/>
          </w:tcPr>
          <w:p w14:paraId="2767CFBC" w14:textId="64FB210B" w:rsidR="00BA2D6B" w:rsidRPr="0060596E" w:rsidRDefault="00BA2D6B" w:rsidP="004F3E2E">
            <w:pPr>
              <w:spacing w:line="360" w:lineRule="auto"/>
              <w:rPr>
                <w:rFonts w:asciiTheme="minorHAnsi" w:hAnsiTheme="minorHAnsi"/>
                <w:szCs w:val="22"/>
              </w:rPr>
            </w:pPr>
          </w:p>
        </w:tc>
      </w:tr>
      <w:tr w:rsidR="00BA2D6B" w:rsidRPr="00F23565" w14:paraId="67C06B9C" w14:textId="77777777" w:rsidTr="00BA2D6B">
        <w:trPr>
          <w:gridBefore w:val="1"/>
          <w:wBefore w:w="284" w:type="dxa"/>
        </w:trPr>
        <w:tc>
          <w:tcPr>
            <w:tcW w:w="2835" w:type="dxa"/>
          </w:tcPr>
          <w:p w14:paraId="144BCFBC" w14:textId="77777777" w:rsidR="00BA2D6B" w:rsidRPr="00276E72" w:rsidRDefault="00BA2D6B" w:rsidP="004F3E2E">
            <w:pPr>
              <w:spacing w:line="360" w:lineRule="auto"/>
              <w:rPr>
                <w:b/>
                <w:sz w:val="24"/>
              </w:rPr>
            </w:pPr>
            <w:r w:rsidRPr="00276E72">
              <w:rPr>
                <w:b/>
                <w:sz w:val="24"/>
              </w:rPr>
              <w:t>Container</w:t>
            </w:r>
          </w:p>
        </w:tc>
        <w:tc>
          <w:tcPr>
            <w:tcW w:w="283" w:type="dxa"/>
            <w:shd w:val="clear" w:color="auto" w:fill="auto"/>
          </w:tcPr>
          <w:p w14:paraId="3B6D291A" w14:textId="77777777" w:rsidR="00BA2D6B" w:rsidRDefault="00BA2D6B" w:rsidP="004F3E2E">
            <w:pPr>
              <w:spacing w:line="360" w:lineRule="auto"/>
            </w:pPr>
          </w:p>
        </w:tc>
        <w:tc>
          <w:tcPr>
            <w:tcW w:w="7229" w:type="dxa"/>
          </w:tcPr>
          <w:p w14:paraId="65CEA10F" w14:textId="39CB23E6" w:rsidR="008361C9" w:rsidRPr="008361C9" w:rsidRDefault="00563435" w:rsidP="008361C9">
            <w:pPr>
              <w:tabs>
                <w:tab w:val="left" w:pos="3705"/>
              </w:tabs>
              <w:autoSpaceDE w:val="0"/>
              <w:autoSpaceDN w:val="0"/>
              <w:adjustRightInd w:val="0"/>
              <w:spacing w:before="100" w:after="100" w:line="240" w:lineRule="auto"/>
              <w:rPr>
                <w:rFonts w:asciiTheme="minorHAnsi" w:hAnsiTheme="minorHAnsi"/>
                <w:szCs w:val="22"/>
                <w:lang w:eastAsia="en-GB"/>
              </w:rPr>
            </w:pPr>
            <w:r w:rsidRPr="008361C9">
              <w:rPr>
                <w:rFonts w:asciiTheme="minorHAnsi" w:hAnsiTheme="minorHAnsi"/>
                <w:szCs w:val="22"/>
                <w:lang w:eastAsia="en-GB"/>
              </w:rPr>
              <w:t xml:space="preserve">Special </w:t>
            </w:r>
            <w:proofErr w:type="gramStart"/>
            <w:r>
              <w:rPr>
                <w:rFonts w:asciiTheme="minorHAnsi" w:hAnsiTheme="minorHAnsi"/>
                <w:szCs w:val="22"/>
                <w:lang w:eastAsia="en-GB"/>
              </w:rPr>
              <w:t>Aptima</w:t>
            </w:r>
            <w:r w:rsidR="005F62AD">
              <w:rPr>
                <w:rFonts w:asciiTheme="minorHAnsi" w:hAnsiTheme="minorHAnsi"/>
                <w:szCs w:val="22"/>
                <w:lang w:eastAsia="en-GB"/>
              </w:rPr>
              <w:t xml:space="preserve">  s</w:t>
            </w:r>
            <w:r w:rsidR="008361C9" w:rsidRPr="008361C9">
              <w:rPr>
                <w:rFonts w:asciiTheme="minorHAnsi" w:hAnsiTheme="minorHAnsi"/>
                <w:szCs w:val="22"/>
                <w:lang w:eastAsia="en-GB"/>
              </w:rPr>
              <w:t>wabs</w:t>
            </w:r>
            <w:proofErr w:type="gramEnd"/>
            <w:r w:rsidR="008361C9" w:rsidRPr="008361C9">
              <w:rPr>
                <w:rFonts w:asciiTheme="minorHAnsi" w:hAnsiTheme="minorHAnsi"/>
                <w:szCs w:val="22"/>
                <w:lang w:eastAsia="en-GB"/>
              </w:rPr>
              <w:t xml:space="preserve"> together with a transportation tube are available for Neisseria gonorrhoeae detection.  The swabs are available f</w:t>
            </w:r>
            <w:r w:rsidR="00FD1754">
              <w:rPr>
                <w:rFonts w:asciiTheme="minorHAnsi" w:hAnsiTheme="minorHAnsi"/>
                <w:szCs w:val="22"/>
                <w:lang w:eastAsia="en-GB"/>
              </w:rPr>
              <w:t xml:space="preserve">rom the </w:t>
            </w:r>
            <w:r w:rsidR="005F62AD">
              <w:rPr>
                <w:rFonts w:asciiTheme="minorHAnsi" w:hAnsiTheme="minorHAnsi"/>
                <w:szCs w:val="22"/>
                <w:lang w:eastAsia="en-GB"/>
              </w:rPr>
              <w:t xml:space="preserve">stores department on the hospital sites </w:t>
            </w:r>
            <w:r w:rsidR="008361C9" w:rsidRPr="008361C9">
              <w:rPr>
                <w:rFonts w:asciiTheme="minorHAnsi" w:hAnsiTheme="minorHAnsi"/>
                <w:szCs w:val="22"/>
                <w:lang w:eastAsia="en-GB"/>
              </w:rPr>
              <w:t xml:space="preserve">and can be stored on the ward for several months at room temperature.  An expiry date is printed on the package - </w:t>
            </w:r>
            <w:r w:rsidR="005F62AD" w:rsidRPr="005F62AD">
              <w:rPr>
                <w:rFonts w:asciiTheme="minorHAnsi" w:hAnsiTheme="minorHAnsi"/>
                <w:color w:val="FF0000"/>
                <w:szCs w:val="22"/>
                <w:lang w:eastAsia="en-GB"/>
              </w:rPr>
              <w:t>P</w:t>
            </w:r>
            <w:r w:rsidR="008361C9" w:rsidRPr="005F62AD">
              <w:rPr>
                <w:rFonts w:asciiTheme="minorHAnsi" w:hAnsiTheme="minorHAnsi"/>
                <w:color w:val="FF0000"/>
                <w:szCs w:val="22"/>
                <w:lang w:eastAsia="en-GB"/>
              </w:rPr>
              <w:t>l</w:t>
            </w:r>
            <w:r w:rsidR="008361C9" w:rsidRPr="00FD1754">
              <w:rPr>
                <w:rFonts w:asciiTheme="minorHAnsi" w:hAnsiTheme="minorHAnsi"/>
                <w:color w:val="FF0000"/>
                <w:szCs w:val="22"/>
                <w:lang w:eastAsia="en-GB"/>
              </w:rPr>
              <w:t>ease check EVERY swab</w:t>
            </w:r>
            <w:r w:rsidR="005F62AD">
              <w:rPr>
                <w:rFonts w:asciiTheme="minorHAnsi" w:hAnsiTheme="minorHAnsi"/>
                <w:color w:val="FF0000"/>
                <w:szCs w:val="22"/>
                <w:lang w:eastAsia="en-GB"/>
              </w:rPr>
              <w:t xml:space="preserve"> EXPIRY DATE</w:t>
            </w:r>
            <w:r w:rsidR="008361C9" w:rsidRPr="00FD1754">
              <w:rPr>
                <w:rFonts w:asciiTheme="minorHAnsi" w:hAnsiTheme="minorHAnsi"/>
                <w:color w:val="FF0000"/>
                <w:szCs w:val="22"/>
                <w:lang w:eastAsia="en-GB"/>
              </w:rPr>
              <w:t xml:space="preserve"> before using</w:t>
            </w:r>
            <w:r w:rsidR="008361C9" w:rsidRPr="008361C9">
              <w:rPr>
                <w:rFonts w:asciiTheme="minorHAnsi" w:hAnsiTheme="minorHAnsi"/>
                <w:szCs w:val="22"/>
                <w:lang w:eastAsia="en-GB"/>
              </w:rPr>
              <w:t>.</w:t>
            </w:r>
          </w:p>
          <w:p w14:paraId="4305BBC1" w14:textId="35AADE34" w:rsidR="00386207" w:rsidRDefault="008361C9" w:rsidP="008361C9">
            <w:pPr>
              <w:tabs>
                <w:tab w:val="left" w:pos="3705"/>
              </w:tabs>
              <w:autoSpaceDE w:val="0"/>
              <w:autoSpaceDN w:val="0"/>
              <w:adjustRightInd w:val="0"/>
              <w:spacing w:before="100" w:after="100" w:line="240" w:lineRule="auto"/>
              <w:rPr>
                <w:rFonts w:asciiTheme="minorHAnsi" w:hAnsiTheme="minorHAnsi"/>
                <w:szCs w:val="22"/>
                <w:lang w:eastAsia="en-GB"/>
              </w:rPr>
            </w:pPr>
            <w:r w:rsidRPr="008361C9">
              <w:rPr>
                <w:rFonts w:asciiTheme="minorHAnsi" w:hAnsiTheme="minorHAnsi"/>
                <w:szCs w:val="22"/>
                <w:lang w:eastAsia="en-GB"/>
              </w:rPr>
              <w:t>Urine samples for detection of Neisseria gonorrhoeae must be collected into a plain, white capped, universal bottle and transferred to a UPT tube immediately after collection as below.</w:t>
            </w:r>
          </w:p>
          <w:p w14:paraId="4E00A5E4" w14:textId="427CF9FE" w:rsidR="008361C9" w:rsidRPr="008361C9" w:rsidRDefault="008361C9" w:rsidP="008361C9">
            <w:pPr>
              <w:tabs>
                <w:tab w:val="left" w:pos="3705"/>
              </w:tabs>
              <w:autoSpaceDE w:val="0"/>
              <w:autoSpaceDN w:val="0"/>
              <w:adjustRightInd w:val="0"/>
              <w:spacing w:before="100" w:after="100" w:line="240" w:lineRule="auto"/>
              <w:rPr>
                <w:rFonts w:asciiTheme="minorHAnsi" w:hAnsiTheme="minorHAnsi"/>
                <w:szCs w:val="22"/>
                <w:lang w:eastAsia="en-GB"/>
              </w:rPr>
            </w:pPr>
            <w:r>
              <w:rPr>
                <w:rFonts w:asciiTheme="minorHAnsi" w:hAnsiTheme="minorHAnsi"/>
                <w:szCs w:val="22"/>
                <w:lang w:eastAsia="en-GB"/>
              </w:rPr>
              <w:t xml:space="preserve">Collection - </w:t>
            </w:r>
            <w:r w:rsidRPr="008361C9">
              <w:rPr>
                <w:rFonts w:asciiTheme="minorHAnsi" w:hAnsiTheme="minorHAnsi"/>
                <w:szCs w:val="22"/>
                <w:lang w:eastAsia="en-GB"/>
              </w:rPr>
              <w:t>Urine samples: The patient should not have urinated for at least 1 hour prior to specimen collection. The first 15 to 60mL of specimen should be collected into a sterile preservative-free collection container. Using the pipette supplied in the specimen collection kit, transfer urine into the UPT tube until the sample level is between the black lines on the fill window and send to the laboratory as soon as possible.</w:t>
            </w:r>
          </w:p>
          <w:p w14:paraId="09E90050" w14:textId="6EB71F2A" w:rsidR="008361C9" w:rsidRPr="008361C9" w:rsidRDefault="008361C9" w:rsidP="008361C9">
            <w:pPr>
              <w:tabs>
                <w:tab w:val="left" w:pos="3705"/>
              </w:tabs>
              <w:autoSpaceDE w:val="0"/>
              <w:autoSpaceDN w:val="0"/>
              <w:adjustRightInd w:val="0"/>
              <w:spacing w:before="100" w:after="100" w:line="240" w:lineRule="auto"/>
              <w:rPr>
                <w:rFonts w:asciiTheme="minorHAnsi" w:hAnsiTheme="minorHAnsi"/>
                <w:szCs w:val="22"/>
                <w:lang w:eastAsia="en-GB"/>
              </w:rPr>
            </w:pPr>
            <w:r w:rsidRPr="008361C9">
              <w:rPr>
                <w:rFonts w:asciiTheme="minorHAnsi" w:hAnsiTheme="minorHAnsi"/>
                <w:szCs w:val="22"/>
                <w:lang w:eastAsia="en-GB"/>
              </w:rPr>
              <w:t>Endocervical specimens: Use the large cleaning swab to remove excess mucous f</w:t>
            </w:r>
            <w:r w:rsidR="00847F83">
              <w:rPr>
                <w:rFonts w:asciiTheme="minorHAnsi" w:hAnsiTheme="minorHAnsi"/>
                <w:szCs w:val="22"/>
                <w:lang w:eastAsia="en-GB"/>
              </w:rPr>
              <w:t>ro</w:t>
            </w:r>
            <w:r w:rsidRPr="008361C9">
              <w:rPr>
                <w:rFonts w:asciiTheme="minorHAnsi" w:hAnsiTheme="minorHAnsi"/>
                <w:szCs w:val="22"/>
                <w:lang w:eastAsia="en-GB"/>
              </w:rPr>
              <w:t xml:space="preserve">m the cervical </w:t>
            </w:r>
            <w:proofErr w:type="spellStart"/>
            <w:r w:rsidRPr="008361C9">
              <w:rPr>
                <w:rFonts w:asciiTheme="minorHAnsi" w:hAnsiTheme="minorHAnsi"/>
                <w:szCs w:val="22"/>
                <w:lang w:eastAsia="en-GB"/>
              </w:rPr>
              <w:t>os</w:t>
            </w:r>
            <w:proofErr w:type="spellEnd"/>
            <w:r w:rsidRPr="008361C9">
              <w:rPr>
                <w:rFonts w:asciiTheme="minorHAnsi" w:hAnsiTheme="minorHAnsi"/>
                <w:szCs w:val="22"/>
                <w:lang w:eastAsia="en-GB"/>
              </w:rPr>
              <w:t xml:space="preserve">. Insert the collection swab into the cervical canal and rotate it for 15 to 30 seconds. Withdraw the swab carefully avoiding </w:t>
            </w:r>
            <w:r w:rsidRPr="008361C9">
              <w:rPr>
                <w:rFonts w:asciiTheme="minorHAnsi" w:hAnsiTheme="minorHAnsi"/>
                <w:szCs w:val="22"/>
                <w:lang w:eastAsia="en-GB"/>
              </w:rPr>
              <w:lastRenderedPageBreak/>
              <w:t>contamination from the vaginal mucosa. Replace the swab in the transport tube, label and send to the laboratory as soon as possible.</w:t>
            </w:r>
          </w:p>
          <w:p w14:paraId="4ABDA06E" w14:textId="03F3A17D" w:rsidR="008361C9" w:rsidRPr="0060596E" w:rsidRDefault="008361C9" w:rsidP="008361C9">
            <w:pPr>
              <w:tabs>
                <w:tab w:val="left" w:pos="3705"/>
              </w:tabs>
              <w:autoSpaceDE w:val="0"/>
              <w:autoSpaceDN w:val="0"/>
              <w:adjustRightInd w:val="0"/>
              <w:spacing w:before="100" w:after="100" w:line="240" w:lineRule="auto"/>
              <w:rPr>
                <w:rFonts w:asciiTheme="minorHAnsi" w:hAnsiTheme="minorHAnsi"/>
                <w:szCs w:val="22"/>
                <w:lang w:eastAsia="en-GB"/>
              </w:rPr>
            </w:pPr>
            <w:r w:rsidRPr="008361C9">
              <w:rPr>
                <w:rFonts w:asciiTheme="minorHAnsi" w:hAnsiTheme="minorHAnsi"/>
                <w:szCs w:val="22"/>
                <w:lang w:eastAsia="en-GB"/>
              </w:rPr>
              <w:t>Urethral specimens: Insert the swab 2 to 4cm into the urethra and rotate it for 3 to 5 seconds. Replace the swab in the transport tube, label and send to the laboratory as soon as possible.</w:t>
            </w:r>
          </w:p>
        </w:tc>
      </w:tr>
      <w:tr w:rsidR="00BA2D6B" w:rsidRPr="00F23565" w14:paraId="16878BE1" w14:textId="77777777" w:rsidTr="00BA2D6B">
        <w:tc>
          <w:tcPr>
            <w:tcW w:w="3119" w:type="dxa"/>
            <w:gridSpan w:val="2"/>
            <w:shd w:val="clear" w:color="auto" w:fill="D9D9D9" w:themeFill="background1" w:themeFillShade="D9"/>
          </w:tcPr>
          <w:p w14:paraId="5BED1CBB" w14:textId="77777777" w:rsidR="00BA2D6B" w:rsidRPr="00276E72" w:rsidRDefault="00BA2D6B" w:rsidP="004F3E2E">
            <w:pPr>
              <w:spacing w:line="360" w:lineRule="auto"/>
              <w:rPr>
                <w:b/>
                <w:sz w:val="24"/>
              </w:rPr>
            </w:pPr>
            <w:r>
              <w:rPr>
                <w:b/>
                <w:sz w:val="24"/>
              </w:rPr>
              <w:lastRenderedPageBreak/>
              <w:t>Reference R</w:t>
            </w:r>
            <w:r w:rsidRPr="00276E72">
              <w:rPr>
                <w:b/>
                <w:sz w:val="24"/>
              </w:rPr>
              <w:t xml:space="preserve">ange </w:t>
            </w:r>
            <w:r>
              <w:rPr>
                <w:b/>
                <w:sz w:val="24"/>
              </w:rPr>
              <w:t>&amp;</w:t>
            </w:r>
            <w:r w:rsidRPr="00276E72">
              <w:rPr>
                <w:b/>
                <w:sz w:val="24"/>
              </w:rPr>
              <w:t xml:space="preserve"> Units</w:t>
            </w:r>
          </w:p>
        </w:tc>
        <w:tc>
          <w:tcPr>
            <w:tcW w:w="283" w:type="dxa"/>
            <w:shd w:val="clear" w:color="auto" w:fill="auto"/>
          </w:tcPr>
          <w:p w14:paraId="327422B4" w14:textId="77777777" w:rsidR="00BA2D6B" w:rsidRDefault="00BA2D6B" w:rsidP="004F3E2E">
            <w:pPr>
              <w:spacing w:line="360" w:lineRule="auto"/>
            </w:pPr>
          </w:p>
        </w:tc>
        <w:tc>
          <w:tcPr>
            <w:tcW w:w="7229" w:type="dxa"/>
            <w:shd w:val="clear" w:color="auto" w:fill="D9D9D9" w:themeFill="background1" w:themeFillShade="D9"/>
          </w:tcPr>
          <w:p w14:paraId="2C641508" w14:textId="55A9AD79" w:rsidR="00BA2D6B" w:rsidRPr="00845263" w:rsidRDefault="00845263" w:rsidP="00EE61A4">
            <w:pPr>
              <w:autoSpaceDE w:val="0"/>
              <w:autoSpaceDN w:val="0"/>
              <w:adjustRightInd w:val="0"/>
              <w:spacing w:before="100" w:after="100" w:line="240" w:lineRule="auto"/>
              <w:rPr>
                <w:rFonts w:asciiTheme="minorHAnsi" w:hAnsiTheme="minorHAnsi"/>
                <w:color w:val="0070C0"/>
                <w:szCs w:val="22"/>
                <w:lang w:eastAsia="en-GB"/>
              </w:rPr>
            </w:pPr>
            <w:r w:rsidRPr="00845263">
              <w:rPr>
                <w:rFonts w:asciiTheme="minorHAnsi" w:hAnsiTheme="minorHAnsi"/>
                <w:color w:val="0070C0"/>
                <w:szCs w:val="22"/>
                <w:lang w:eastAsia="en-GB"/>
              </w:rPr>
              <w:t>N/A</w:t>
            </w:r>
          </w:p>
        </w:tc>
      </w:tr>
      <w:tr w:rsidR="00BA2D6B" w:rsidRPr="00F23565" w14:paraId="6764BDD8" w14:textId="77777777" w:rsidTr="00BA2D6B">
        <w:tc>
          <w:tcPr>
            <w:tcW w:w="3119" w:type="dxa"/>
            <w:gridSpan w:val="2"/>
          </w:tcPr>
          <w:p w14:paraId="690E0483" w14:textId="77777777" w:rsidR="00BA2D6B" w:rsidRPr="00276E72" w:rsidRDefault="00BA2D6B" w:rsidP="004F3E2E">
            <w:pPr>
              <w:spacing w:line="360" w:lineRule="auto"/>
              <w:rPr>
                <w:b/>
                <w:sz w:val="24"/>
              </w:rPr>
            </w:pPr>
            <w:r w:rsidRPr="00276E72">
              <w:rPr>
                <w:b/>
                <w:sz w:val="24"/>
              </w:rPr>
              <w:t>Interferences</w:t>
            </w:r>
          </w:p>
        </w:tc>
        <w:tc>
          <w:tcPr>
            <w:tcW w:w="283" w:type="dxa"/>
            <w:shd w:val="clear" w:color="auto" w:fill="auto"/>
          </w:tcPr>
          <w:p w14:paraId="59D00442" w14:textId="77777777" w:rsidR="00BA2D6B" w:rsidRDefault="00BA2D6B" w:rsidP="004F3E2E">
            <w:pPr>
              <w:spacing w:line="360" w:lineRule="auto"/>
            </w:pPr>
          </w:p>
        </w:tc>
        <w:tc>
          <w:tcPr>
            <w:tcW w:w="7229" w:type="dxa"/>
          </w:tcPr>
          <w:p w14:paraId="1C403CAF" w14:textId="40C226C6" w:rsidR="00BA2D6B" w:rsidRPr="0060596E" w:rsidRDefault="000D1F44" w:rsidP="004F3E2E">
            <w:pPr>
              <w:spacing w:line="360" w:lineRule="auto"/>
              <w:rPr>
                <w:rFonts w:asciiTheme="minorHAnsi" w:hAnsiTheme="minorHAnsi"/>
                <w:szCs w:val="22"/>
              </w:rPr>
            </w:pPr>
            <w:r>
              <w:rPr>
                <w:rFonts w:asciiTheme="minorHAnsi" w:hAnsiTheme="minorHAnsi"/>
                <w:szCs w:val="22"/>
              </w:rPr>
              <w:t>Samples collected in Aptima transportation tubes should be left at room temperature prior to testing.</w:t>
            </w:r>
          </w:p>
        </w:tc>
      </w:tr>
      <w:tr w:rsidR="00BA2D6B" w:rsidRPr="00F23565" w14:paraId="3AE78C0E" w14:textId="77777777" w:rsidTr="00BA2D6B">
        <w:tc>
          <w:tcPr>
            <w:tcW w:w="3119" w:type="dxa"/>
            <w:gridSpan w:val="2"/>
            <w:shd w:val="clear" w:color="auto" w:fill="D9D9D9" w:themeFill="background1" w:themeFillShade="D9"/>
          </w:tcPr>
          <w:p w14:paraId="1ED3F11F" w14:textId="77777777" w:rsidR="00BA2D6B" w:rsidRDefault="00BA2D6B" w:rsidP="004F3E2E">
            <w:pPr>
              <w:spacing w:line="360" w:lineRule="auto"/>
              <w:rPr>
                <w:b/>
                <w:sz w:val="24"/>
              </w:rPr>
            </w:pPr>
            <w:r w:rsidRPr="00276E72">
              <w:rPr>
                <w:b/>
                <w:sz w:val="24"/>
              </w:rPr>
              <w:t xml:space="preserve">Interpretation &amp; Clinical </w:t>
            </w:r>
          </w:p>
          <w:p w14:paraId="43D5EA15" w14:textId="77777777" w:rsidR="00BA2D6B" w:rsidRPr="00276E72" w:rsidRDefault="00BA2D6B" w:rsidP="004F3E2E">
            <w:pPr>
              <w:spacing w:line="360" w:lineRule="auto"/>
              <w:rPr>
                <w:b/>
                <w:sz w:val="24"/>
              </w:rPr>
            </w:pPr>
            <w:r w:rsidRPr="00276E72">
              <w:rPr>
                <w:b/>
                <w:sz w:val="24"/>
              </w:rPr>
              <w:t>Decision Value (if applicable)</w:t>
            </w:r>
          </w:p>
        </w:tc>
        <w:tc>
          <w:tcPr>
            <w:tcW w:w="283" w:type="dxa"/>
            <w:shd w:val="clear" w:color="auto" w:fill="auto"/>
          </w:tcPr>
          <w:p w14:paraId="00820DD6" w14:textId="77777777" w:rsidR="00BA2D6B" w:rsidRDefault="00BA2D6B" w:rsidP="004F3E2E">
            <w:pPr>
              <w:spacing w:line="360" w:lineRule="auto"/>
            </w:pPr>
          </w:p>
        </w:tc>
        <w:tc>
          <w:tcPr>
            <w:tcW w:w="7229" w:type="dxa"/>
            <w:shd w:val="clear" w:color="auto" w:fill="D9D9D9" w:themeFill="background1" w:themeFillShade="D9"/>
          </w:tcPr>
          <w:p w14:paraId="185974EE" w14:textId="7FAAA6EB" w:rsidR="00BA2D6B" w:rsidRPr="00845263" w:rsidRDefault="00845263" w:rsidP="00EE61A4">
            <w:pPr>
              <w:autoSpaceDE w:val="0"/>
              <w:autoSpaceDN w:val="0"/>
              <w:adjustRightInd w:val="0"/>
              <w:spacing w:before="100" w:after="100" w:line="240" w:lineRule="auto"/>
              <w:rPr>
                <w:rFonts w:asciiTheme="minorHAnsi" w:hAnsiTheme="minorHAnsi"/>
                <w:color w:val="0070C0"/>
                <w:szCs w:val="22"/>
                <w:lang w:eastAsia="en-GB"/>
              </w:rPr>
            </w:pPr>
            <w:r w:rsidRPr="00845263">
              <w:rPr>
                <w:rFonts w:asciiTheme="minorHAnsi" w:hAnsiTheme="minorHAnsi"/>
                <w:color w:val="0070C0"/>
                <w:szCs w:val="22"/>
                <w:lang w:eastAsia="en-GB"/>
              </w:rPr>
              <w:t>N/A</w:t>
            </w:r>
          </w:p>
        </w:tc>
      </w:tr>
      <w:tr w:rsidR="00BA2D6B" w:rsidRPr="00F23565" w14:paraId="02D3D286" w14:textId="77777777" w:rsidTr="00BA2D6B">
        <w:tc>
          <w:tcPr>
            <w:tcW w:w="3119" w:type="dxa"/>
            <w:gridSpan w:val="2"/>
          </w:tcPr>
          <w:p w14:paraId="5FF4BFE6" w14:textId="77777777" w:rsidR="00BA2D6B" w:rsidRPr="00276E72" w:rsidRDefault="00BA2D6B" w:rsidP="004F3E2E">
            <w:pPr>
              <w:spacing w:line="360" w:lineRule="auto"/>
              <w:rPr>
                <w:b/>
                <w:sz w:val="24"/>
              </w:rPr>
            </w:pPr>
            <w:r w:rsidRPr="00276E72">
              <w:rPr>
                <w:b/>
                <w:sz w:val="24"/>
              </w:rPr>
              <w:t>References</w:t>
            </w:r>
          </w:p>
        </w:tc>
        <w:tc>
          <w:tcPr>
            <w:tcW w:w="283" w:type="dxa"/>
            <w:shd w:val="clear" w:color="auto" w:fill="auto"/>
          </w:tcPr>
          <w:p w14:paraId="4B72D5BD" w14:textId="77777777" w:rsidR="00BA2D6B" w:rsidRDefault="00BA2D6B" w:rsidP="004F3E2E">
            <w:pPr>
              <w:spacing w:line="360" w:lineRule="auto"/>
            </w:pPr>
          </w:p>
        </w:tc>
        <w:tc>
          <w:tcPr>
            <w:tcW w:w="7229" w:type="dxa"/>
          </w:tcPr>
          <w:p w14:paraId="0F7E7ED1" w14:textId="77777777" w:rsidR="00BA2D6B" w:rsidRPr="0060596E" w:rsidRDefault="00BA2D6B" w:rsidP="004F3E2E">
            <w:pPr>
              <w:spacing w:line="360" w:lineRule="auto"/>
              <w:rPr>
                <w:rFonts w:asciiTheme="minorHAnsi" w:hAnsiTheme="minorHAnsi"/>
                <w:szCs w:val="22"/>
              </w:rPr>
            </w:pPr>
          </w:p>
        </w:tc>
      </w:tr>
      <w:tr w:rsidR="00BA2D6B" w:rsidRPr="00F23565" w14:paraId="67963323" w14:textId="77777777" w:rsidTr="00BA2D6B">
        <w:tc>
          <w:tcPr>
            <w:tcW w:w="3119" w:type="dxa"/>
            <w:gridSpan w:val="2"/>
            <w:shd w:val="clear" w:color="auto" w:fill="D9D9D9" w:themeFill="background1" w:themeFillShade="D9"/>
          </w:tcPr>
          <w:p w14:paraId="134013CF" w14:textId="77777777" w:rsidR="00BA2D6B" w:rsidRPr="00276E72" w:rsidRDefault="00BA2D6B" w:rsidP="004F3E2E">
            <w:pPr>
              <w:spacing w:line="360" w:lineRule="auto"/>
              <w:rPr>
                <w:b/>
                <w:sz w:val="24"/>
              </w:rPr>
            </w:pPr>
            <w:r>
              <w:rPr>
                <w:b/>
                <w:sz w:val="24"/>
              </w:rPr>
              <w:t>Test code</w:t>
            </w:r>
          </w:p>
        </w:tc>
        <w:tc>
          <w:tcPr>
            <w:tcW w:w="283" w:type="dxa"/>
            <w:shd w:val="clear" w:color="auto" w:fill="auto"/>
          </w:tcPr>
          <w:p w14:paraId="1C44975D" w14:textId="77777777" w:rsidR="00BA2D6B" w:rsidRDefault="00BA2D6B" w:rsidP="004F3E2E">
            <w:pPr>
              <w:spacing w:line="360" w:lineRule="auto"/>
            </w:pPr>
          </w:p>
        </w:tc>
        <w:tc>
          <w:tcPr>
            <w:tcW w:w="7229" w:type="dxa"/>
            <w:shd w:val="clear" w:color="auto" w:fill="D9D9D9" w:themeFill="background1" w:themeFillShade="D9"/>
          </w:tcPr>
          <w:p w14:paraId="0E6F86E2" w14:textId="472978C9" w:rsidR="00BA2D6B" w:rsidRPr="0040664D" w:rsidRDefault="0040664D" w:rsidP="004F3E2E">
            <w:pPr>
              <w:spacing w:line="360" w:lineRule="auto"/>
              <w:rPr>
                <w:rFonts w:asciiTheme="minorHAnsi" w:hAnsiTheme="minorHAnsi"/>
                <w:color w:val="0070C0"/>
                <w:szCs w:val="22"/>
              </w:rPr>
            </w:pPr>
            <w:r w:rsidRPr="0040664D">
              <w:rPr>
                <w:rFonts w:asciiTheme="minorHAnsi" w:hAnsiTheme="minorHAnsi"/>
                <w:color w:val="0070C0"/>
                <w:szCs w:val="22"/>
              </w:rPr>
              <w:t>CGC</w:t>
            </w:r>
          </w:p>
        </w:tc>
      </w:tr>
      <w:tr w:rsidR="00EE61A4" w:rsidRPr="00F23565" w14:paraId="75C71B45" w14:textId="77777777" w:rsidTr="00EE61A4">
        <w:tc>
          <w:tcPr>
            <w:tcW w:w="3119" w:type="dxa"/>
            <w:gridSpan w:val="2"/>
            <w:shd w:val="clear" w:color="auto" w:fill="auto"/>
          </w:tcPr>
          <w:p w14:paraId="0834B7E9" w14:textId="77777777" w:rsidR="00EE61A4" w:rsidRDefault="00EE61A4" w:rsidP="004F3E2E">
            <w:pPr>
              <w:spacing w:line="360" w:lineRule="auto"/>
              <w:rPr>
                <w:b/>
                <w:sz w:val="24"/>
              </w:rPr>
            </w:pPr>
            <w:r>
              <w:rPr>
                <w:b/>
                <w:sz w:val="24"/>
              </w:rPr>
              <w:t>Lab Handling</w:t>
            </w:r>
          </w:p>
        </w:tc>
        <w:tc>
          <w:tcPr>
            <w:tcW w:w="283" w:type="dxa"/>
            <w:shd w:val="clear" w:color="auto" w:fill="auto"/>
          </w:tcPr>
          <w:p w14:paraId="6980123A" w14:textId="77777777" w:rsidR="00EE61A4" w:rsidRDefault="00EE61A4" w:rsidP="004F3E2E">
            <w:pPr>
              <w:spacing w:line="360" w:lineRule="auto"/>
            </w:pPr>
          </w:p>
        </w:tc>
        <w:tc>
          <w:tcPr>
            <w:tcW w:w="7229" w:type="dxa"/>
            <w:shd w:val="clear" w:color="auto" w:fill="auto"/>
          </w:tcPr>
          <w:p w14:paraId="714817D4" w14:textId="5F14CFCD" w:rsidR="00EE61A4" w:rsidRPr="0060596E" w:rsidRDefault="008361C9" w:rsidP="00386207">
            <w:pPr>
              <w:pStyle w:val="NoSpacing"/>
              <w:rPr>
                <w:rFonts w:asciiTheme="minorHAnsi" w:hAnsiTheme="minorHAnsi"/>
                <w:szCs w:val="22"/>
              </w:rPr>
            </w:pPr>
            <w:r w:rsidRPr="008361C9">
              <w:rPr>
                <w:rFonts w:asciiTheme="minorHAnsi" w:hAnsiTheme="minorHAnsi"/>
                <w:szCs w:val="22"/>
              </w:rPr>
              <w:t>Samples will be processed as soon as possible following receipt</w:t>
            </w:r>
            <w:r w:rsidR="00845263">
              <w:rPr>
                <w:rFonts w:asciiTheme="minorHAnsi" w:hAnsiTheme="minorHAnsi"/>
                <w:szCs w:val="22"/>
              </w:rPr>
              <w:t xml:space="preserve">, </w:t>
            </w:r>
            <w:r w:rsidR="00845263" w:rsidRPr="00845263">
              <w:rPr>
                <w:rFonts w:asciiTheme="minorHAnsi" w:hAnsiTheme="minorHAnsi"/>
                <w:color w:val="0070C0"/>
                <w:szCs w:val="22"/>
              </w:rPr>
              <w:t>stored at room temperature</w:t>
            </w:r>
          </w:p>
        </w:tc>
      </w:tr>
    </w:tbl>
    <w:p w14:paraId="726E1EA0" w14:textId="4F344750" w:rsidR="000319DA" w:rsidRPr="000319DA" w:rsidRDefault="000319DA" w:rsidP="00EE61A4">
      <w:pPr>
        <w:spacing w:line="360" w:lineRule="auto"/>
      </w:pPr>
    </w:p>
    <w:sectPr w:rsidR="000319DA" w:rsidRPr="000319DA" w:rsidSect="000319DA">
      <w:headerReference w:type="default" r:id="rId9"/>
      <w:footerReference w:type="default" r:id="rId10"/>
      <w:pgSz w:w="11907" w:h="16840" w:code="9"/>
      <w:pgMar w:top="1560" w:right="856" w:bottom="709" w:left="754" w:header="284" w:footer="299" w:gutter="0"/>
      <w:cols w:space="72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C676" w14:textId="77777777" w:rsidR="007C6F31" w:rsidRDefault="007C6F31">
      <w:r>
        <w:separator/>
      </w:r>
    </w:p>
    <w:p w14:paraId="04CF670D" w14:textId="77777777" w:rsidR="007C6F31" w:rsidRDefault="007C6F31"/>
    <w:p w14:paraId="23B10A75" w14:textId="77777777" w:rsidR="007C6F31" w:rsidRDefault="007C6F31"/>
    <w:p w14:paraId="59EAEED6" w14:textId="77777777" w:rsidR="007C6F31" w:rsidRDefault="007C6F31"/>
    <w:p w14:paraId="24D97AC2" w14:textId="77777777" w:rsidR="007C6F31" w:rsidRDefault="007C6F31"/>
    <w:p w14:paraId="46473759" w14:textId="77777777" w:rsidR="007C6F31" w:rsidRDefault="007C6F31"/>
    <w:p w14:paraId="35232720" w14:textId="77777777" w:rsidR="007C6F31" w:rsidRDefault="007C6F31"/>
    <w:p w14:paraId="20A0CFA4" w14:textId="77777777" w:rsidR="007C6F31" w:rsidRDefault="007C6F31"/>
    <w:p w14:paraId="544A9853" w14:textId="77777777" w:rsidR="007C6F31" w:rsidRDefault="007C6F31"/>
  </w:endnote>
  <w:endnote w:type="continuationSeparator" w:id="0">
    <w:p w14:paraId="5DFBD3B1" w14:textId="77777777" w:rsidR="007C6F31" w:rsidRDefault="007C6F31">
      <w:r>
        <w:continuationSeparator/>
      </w:r>
    </w:p>
    <w:p w14:paraId="20F51FCB" w14:textId="77777777" w:rsidR="007C6F31" w:rsidRDefault="007C6F31"/>
    <w:p w14:paraId="76D17733" w14:textId="77777777" w:rsidR="007C6F31" w:rsidRDefault="007C6F31"/>
    <w:p w14:paraId="5CD6D22B" w14:textId="77777777" w:rsidR="007C6F31" w:rsidRDefault="007C6F31"/>
    <w:p w14:paraId="3849922A" w14:textId="77777777" w:rsidR="007C6F31" w:rsidRDefault="007C6F31"/>
    <w:p w14:paraId="7979273A" w14:textId="77777777" w:rsidR="007C6F31" w:rsidRDefault="007C6F31"/>
    <w:p w14:paraId="37E2D155" w14:textId="77777777" w:rsidR="007C6F31" w:rsidRDefault="007C6F31"/>
    <w:p w14:paraId="13858E10" w14:textId="77777777" w:rsidR="007C6F31" w:rsidRDefault="007C6F31"/>
    <w:p w14:paraId="05A7A9AC" w14:textId="77777777" w:rsidR="007C6F31" w:rsidRDefault="007C6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A037" w14:textId="77777777" w:rsidR="00BA2D6B" w:rsidRPr="007825B1" w:rsidRDefault="00BA2D6B">
    <w:pPr>
      <w:pStyle w:val="Footer"/>
      <w:pBdr>
        <w:top w:val="single" w:sz="4" w:space="0" w:color="auto"/>
        <w:left w:val="single" w:sz="4" w:space="4" w:color="auto"/>
        <w:bottom w:val="single" w:sz="4" w:space="0" w:color="auto"/>
        <w:right w:val="single" w:sz="4" w:space="4" w:color="auto"/>
      </w:pBdr>
      <w:tabs>
        <w:tab w:val="clear" w:pos="8640"/>
        <w:tab w:val="right" w:pos="10270"/>
      </w:tabs>
      <w:rPr>
        <w:b/>
        <w:bCs/>
        <w:sz w:val="2"/>
        <w:szCs w:val="10"/>
      </w:rPr>
    </w:pPr>
  </w:p>
  <w:p w14:paraId="50541653" w14:textId="612B4267" w:rsidR="00BA2D6B" w:rsidRPr="00276E72" w:rsidRDefault="00AE3D71">
    <w:pPr>
      <w:pStyle w:val="Footer"/>
      <w:pBdr>
        <w:top w:val="single" w:sz="4" w:space="0" w:color="auto"/>
        <w:left w:val="single" w:sz="4" w:space="4" w:color="auto"/>
        <w:bottom w:val="single" w:sz="4" w:space="0" w:color="auto"/>
        <w:right w:val="single" w:sz="4" w:space="4" w:color="auto"/>
      </w:pBdr>
      <w:tabs>
        <w:tab w:val="clear" w:pos="8640"/>
        <w:tab w:val="right" w:pos="10270"/>
      </w:tabs>
      <w:rPr>
        <w:b/>
        <w:bCs/>
        <w:sz w:val="16"/>
        <w:lang w:val="en-US"/>
      </w:rPr>
    </w:pPr>
    <w:r>
      <w:rPr>
        <w:b/>
        <w:bCs/>
        <w:sz w:val="16"/>
      </w:rPr>
      <w:t>Version 1.</w:t>
    </w:r>
    <w:r w:rsidR="0040664D">
      <w:rPr>
        <w:b/>
        <w:bCs/>
        <w:sz w:val="16"/>
      </w:rPr>
      <w:t>6</w:t>
    </w:r>
    <w:r w:rsidR="00BA2D6B" w:rsidRPr="00276E72">
      <w:rPr>
        <w:b/>
        <w:bCs/>
        <w:sz w:val="16"/>
      </w:rPr>
      <w:t xml:space="preserve"> / </w:t>
    </w:r>
    <w:r w:rsidR="0040664D">
      <w:rPr>
        <w:b/>
        <w:bCs/>
        <w:sz w:val="16"/>
      </w:rPr>
      <w:t>December 2024</w:t>
    </w:r>
    <w:r w:rsidR="00BA2D6B" w:rsidRPr="00276E72">
      <w:rPr>
        <w:b/>
        <w:bCs/>
        <w:sz w:val="16"/>
      </w:rPr>
      <w:ptab w:relativeTo="margin" w:alignment="center" w:leader="none"/>
    </w:r>
    <w:r w:rsidR="00BA2D6B" w:rsidRPr="00276E72">
      <w:rPr>
        <w:b/>
        <w:bCs/>
        <w:sz w:val="16"/>
      </w:rPr>
      <w:t xml:space="preserve">Approved by: </w:t>
    </w:r>
    <w:r w:rsidR="005E7E9C">
      <w:rPr>
        <w:b/>
        <w:bCs/>
        <w:sz w:val="16"/>
      </w:rPr>
      <w:t>Consultant Microbiologist</w:t>
    </w:r>
    <w:r w:rsidR="00BA2D6B" w:rsidRPr="00276E72">
      <w:rPr>
        <w:b/>
        <w:bCs/>
        <w:sz w:val="16"/>
      </w:rPr>
      <w:tab/>
    </w:r>
    <w:r w:rsidR="00BA2D6B" w:rsidRPr="00276E72">
      <w:rPr>
        <w:b/>
        <w:bCs/>
        <w:sz w:val="16"/>
        <w:lang w:val="en-US"/>
      </w:rPr>
      <w:t xml:space="preserve">Page </w:t>
    </w:r>
    <w:r w:rsidR="00962A9D" w:rsidRPr="00276E72">
      <w:rPr>
        <w:b/>
        <w:bCs/>
        <w:sz w:val="16"/>
        <w:lang w:val="en-US"/>
      </w:rPr>
      <w:fldChar w:fldCharType="begin"/>
    </w:r>
    <w:r w:rsidR="00BA2D6B" w:rsidRPr="00276E72">
      <w:rPr>
        <w:b/>
        <w:bCs/>
        <w:sz w:val="16"/>
        <w:lang w:val="en-US"/>
      </w:rPr>
      <w:instrText xml:space="preserve"> PAGE </w:instrText>
    </w:r>
    <w:r w:rsidR="00962A9D" w:rsidRPr="00276E72">
      <w:rPr>
        <w:b/>
        <w:bCs/>
        <w:sz w:val="16"/>
        <w:lang w:val="en-US"/>
      </w:rPr>
      <w:fldChar w:fldCharType="separate"/>
    </w:r>
    <w:r w:rsidR="00BB6B4E">
      <w:rPr>
        <w:b/>
        <w:bCs/>
        <w:noProof/>
        <w:sz w:val="16"/>
        <w:lang w:val="en-US"/>
      </w:rPr>
      <w:t>1</w:t>
    </w:r>
    <w:r w:rsidR="00962A9D" w:rsidRPr="00276E72">
      <w:rPr>
        <w:b/>
        <w:bCs/>
        <w:sz w:val="16"/>
        <w:lang w:val="en-US"/>
      </w:rPr>
      <w:fldChar w:fldCharType="end"/>
    </w:r>
    <w:r w:rsidR="00BA2D6B" w:rsidRPr="00276E72">
      <w:rPr>
        <w:b/>
        <w:bCs/>
        <w:sz w:val="16"/>
        <w:lang w:val="en-US"/>
      </w:rPr>
      <w:t xml:space="preserve"> of </w:t>
    </w:r>
    <w:r w:rsidR="00962A9D" w:rsidRPr="00276E72">
      <w:rPr>
        <w:b/>
        <w:bCs/>
        <w:sz w:val="16"/>
        <w:lang w:val="en-US"/>
      </w:rPr>
      <w:fldChar w:fldCharType="begin"/>
    </w:r>
    <w:r w:rsidR="00BA2D6B" w:rsidRPr="00276E72">
      <w:rPr>
        <w:b/>
        <w:bCs/>
        <w:sz w:val="16"/>
        <w:lang w:val="en-US"/>
      </w:rPr>
      <w:instrText xml:space="preserve"> NUMPAGES </w:instrText>
    </w:r>
    <w:r w:rsidR="00962A9D" w:rsidRPr="00276E72">
      <w:rPr>
        <w:b/>
        <w:bCs/>
        <w:sz w:val="16"/>
        <w:lang w:val="en-US"/>
      </w:rPr>
      <w:fldChar w:fldCharType="separate"/>
    </w:r>
    <w:r w:rsidR="00BB6B4E">
      <w:rPr>
        <w:b/>
        <w:bCs/>
        <w:noProof/>
        <w:sz w:val="16"/>
        <w:lang w:val="en-US"/>
      </w:rPr>
      <w:t>2</w:t>
    </w:r>
    <w:r w:rsidR="00962A9D" w:rsidRPr="00276E72">
      <w:rPr>
        <w:b/>
        <w:b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3FD4" w14:textId="77777777" w:rsidR="007C6F31" w:rsidRDefault="007C6F31">
      <w:r>
        <w:separator/>
      </w:r>
    </w:p>
    <w:p w14:paraId="458BA0BA" w14:textId="77777777" w:rsidR="007C6F31" w:rsidRDefault="007C6F31"/>
    <w:p w14:paraId="18A1CB07" w14:textId="77777777" w:rsidR="007C6F31" w:rsidRDefault="007C6F31"/>
    <w:p w14:paraId="11F67BA6" w14:textId="77777777" w:rsidR="007C6F31" w:rsidRDefault="007C6F31"/>
    <w:p w14:paraId="37F25A4F" w14:textId="77777777" w:rsidR="007C6F31" w:rsidRDefault="007C6F31"/>
    <w:p w14:paraId="677F5BB8" w14:textId="77777777" w:rsidR="007C6F31" w:rsidRDefault="007C6F31"/>
    <w:p w14:paraId="1BEE8593" w14:textId="77777777" w:rsidR="007C6F31" w:rsidRDefault="007C6F31"/>
    <w:p w14:paraId="2887292D" w14:textId="77777777" w:rsidR="007C6F31" w:rsidRDefault="007C6F31"/>
    <w:p w14:paraId="644375D8" w14:textId="77777777" w:rsidR="007C6F31" w:rsidRDefault="007C6F31"/>
  </w:footnote>
  <w:footnote w:type="continuationSeparator" w:id="0">
    <w:p w14:paraId="0219BE48" w14:textId="77777777" w:rsidR="007C6F31" w:rsidRDefault="007C6F31">
      <w:r>
        <w:continuationSeparator/>
      </w:r>
    </w:p>
    <w:p w14:paraId="30A579AB" w14:textId="77777777" w:rsidR="007C6F31" w:rsidRDefault="007C6F31"/>
    <w:p w14:paraId="573960BA" w14:textId="77777777" w:rsidR="007C6F31" w:rsidRDefault="007C6F31"/>
    <w:p w14:paraId="4F40949D" w14:textId="77777777" w:rsidR="007C6F31" w:rsidRDefault="007C6F31"/>
    <w:p w14:paraId="7B922B17" w14:textId="77777777" w:rsidR="007C6F31" w:rsidRDefault="007C6F31"/>
    <w:p w14:paraId="318C0C50" w14:textId="77777777" w:rsidR="007C6F31" w:rsidRDefault="007C6F31"/>
    <w:p w14:paraId="64C135BF" w14:textId="77777777" w:rsidR="007C6F31" w:rsidRDefault="007C6F31"/>
    <w:p w14:paraId="6337D4AC" w14:textId="77777777" w:rsidR="007C6F31" w:rsidRDefault="007C6F31"/>
    <w:p w14:paraId="6FE6C716" w14:textId="77777777" w:rsidR="007C6F31" w:rsidRDefault="007C6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1FCA" w14:textId="04C6A70A" w:rsidR="00BA2D6B" w:rsidRDefault="006D4736">
    <w:pPr>
      <w:pStyle w:val="Header"/>
    </w:pPr>
    <w:r>
      <w:rPr>
        <w:noProof/>
        <w:lang w:eastAsia="en-GB"/>
      </w:rPr>
      <w:drawing>
        <wp:anchor distT="0" distB="0" distL="114300" distR="114300" simplePos="0" relativeHeight="251661312" behindDoc="0" locked="0" layoutInCell="1" allowOverlap="1" wp14:anchorId="78AAD785" wp14:editId="3F589B02">
          <wp:simplePos x="0" y="0"/>
          <wp:positionH relativeFrom="column">
            <wp:posOffset>5247249</wp:posOffset>
          </wp:positionH>
          <wp:positionV relativeFrom="paragraph">
            <wp:posOffset>8206</wp:posOffset>
          </wp:positionV>
          <wp:extent cx="1470073" cy="4936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0073" cy="4936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lang w:eastAsia="en-GB"/>
      </w:rPr>
      <w:pict w14:anchorId="7DFFF0A8">
        <v:group id="_x0000_s1027" editas="canvas" style="position:absolute;margin-left:-37.7pt;margin-top:-14.2pt;width:96.75pt;height:42pt;z-index:251660288;mso-position-horizontal-relative:text;mso-position-vertical-relative:text" coordsize="1935,8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width:1935;height:840" o:preferrelative="f">
            <v:fill o:detectmouseclick="t"/>
            <v:path o:extrusionok="t" o:connecttype="none"/>
            <o:lock v:ext="edit" text="t"/>
          </v:shape>
        </v:group>
      </w:pict>
    </w:r>
  </w:p>
  <w:p w14:paraId="1E4C55DC" w14:textId="6AA2DB5E" w:rsidR="00BA2D6B" w:rsidRDefault="00BA2D6B">
    <w:pPr>
      <w:pStyle w:val="Header"/>
    </w:pPr>
  </w:p>
  <w:p w14:paraId="7186ABB7" w14:textId="4111A7CF" w:rsidR="00BA2D6B" w:rsidRDefault="00BA2D6B">
    <w:pPr>
      <w:pStyle w:val="Header"/>
    </w:pPr>
  </w:p>
  <w:p w14:paraId="567680AB" w14:textId="77777777" w:rsidR="00BA2D6B" w:rsidRDefault="00BA2D6B" w:rsidP="007825B1">
    <w:pPr>
      <w:pStyle w:val="Header"/>
      <w:jc w:val="right"/>
      <w:rPr>
        <w:sz w:val="14"/>
        <w:szCs w:val="14"/>
      </w:rPr>
    </w:pPr>
  </w:p>
  <w:p w14:paraId="1B32FD42" w14:textId="77777777" w:rsidR="00BA2D6B" w:rsidRPr="00276E72" w:rsidRDefault="00525B32" w:rsidP="007825B1">
    <w:pPr>
      <w:pStyle w:val="Header"/>
      <w:jc w:val="right"/>
      <w:rPr>
        <w:b/>
        <w:sz w:val="16"/>
        <w:szCs w:val="14"/>
      </w:rPr>
    </w:pPr>
    <w:r>
      <w:rPr>
        <w:b/>
        <w:sz w:val="16"/>
        <w:szCs w:val="14"/>
      </w:rPr>
      <w:t>PF-PTD-226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DE0"/>
    <w:multiLevelType w:val="multilevel"/>
    <w:tmpl w:val="E3607A9A"/>
    <w:numStyleLink w:val="Numbering-2ndLevel"/>
  </w:abstractNum>
  <w:abstractNum w:abstractNumId="1" w15:restartNumberingAfterBreak="0">
    <w:nsid w:val="052101BA"/>
    <w:multiLevelType w:val="multilevel"/>
    <w:tmpl w:val="E3607A9A"/>
    <w:styleLink w:val="Numbering-2ndLevel"/>
    <w:lvl w:ilvl="0">
      <w:start w:val="1"/>
      <w:numFmt w:val="decimal"/>
      <w:lvlText w:val="%1"/>
      <w:lvlJc w:val="left"/>
      <w:pPr>
        <w:tabs>
          <w:tab w:val="num" w:pos="720"/>
        </w:tabs>
        <w:ind w:left="720" w:hanging="720"/>
      </w:pPr>
      <w:rPr>
        <w:rFonts w:ascii="Arial" w:hAnsi="Arial" w:hint="default"/>
        <w:sz w:val="24"/>
      </w:rPr>
    </w:lvl>
    <w:lvl w:ilvl="1">
      <w:start w:val="1"/>
      <w:numFmt w:val="decimal"/>
      <w:lvlText w:val="%1.%2"/>
      <w:lvlJc w:val="left"/>
      <w:pPr>
        <w:tabs>
          <w:tab w:val="num" w:pos="728"/>
        </w:tabs>
        <w:ind w:left="1448" w:hanging="720"/>
      </w:pPr>
      <w:rPr>
        <w:rFonts w:ascii="Arial" w:hAnsi="Arial"/>
        <w:b/>
        <w:bCs/>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C306C7"/>
    <w:multiLevelType w:val="multilevel"/>
    <w:tmpl w:val="CF488D3C"/>
    <w:styleLink w:val="Numbering-Main"/>
    <w:lvl w:ilvl="0">
      <w:start w:val="1"/>
      <w:numFmt w:val="decimal"/>
      <w:lvlText w:val="%1."/>
      <w:lvlJc w:val="left"/>
      <w:pPr>
        <w:tabs>
          <w:tab w:val="num" w:pos="360"/>
        </w:tabs>
        <w:ind w:left="360" w:hanging="360"/>
      </w:pPr>
      <w:rPr>
        <w:b/>
        <w:sz w:val="24"/>
      </w:rPr>
    </w:lvl>
    <w:lvl w:ilvl="1">
      <w:start w:val="2"/>
      <w:numFmt w:val="decimal"/>
      <w:isLgl/>
      <w:lvlText w:val="%1.%2"/>
      <w:lvlJc w:val="left"/>
      <w:pPr>
        <w:tabs>
          <w:tab w:val="num" w:pos="420"/>
        </w:tabs>
        <w:ind w:left="420" w:hanging="360"/>
      </w:pPr>
      <w:rPr>
        <w:rFonts w:hint="default"/>
      </w:rPr>
    </w:lvl>
    <w:lvl w:ilvl="2">
      <w:start w:val="1"/>
      <w:numFmt w:val="decimal"/>
      <w:isLgl/>
      <w:lvlText w:val="%1.%2.%3"/>
      <w:lvlJc w:val="left"/>
      <w:pPr>
        <w:tabs>
          <w:tab w:val="num" w:pos="1318"/>
        </w:tabs>
        <w:ind w:left="1318"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3" w15:restartNumberingAfterBreak="0">
    <w:nsid w:val="36644BBE"/>
    <w:multiLevelType w:val="multilevel"/>
    <w:tmpl w:val="CF488D3C"/>
    <w:numStyleLink w:val="Numbering-Main"/>
  </w:abstractNum>
  <w:abstractNum w:abstractNumId="4" w15:restartNumberingAfterBreak="0">
    <w:nsid w:val="563E5BAA"/>
    <w:multiLevelType w:val="multilevel"/>
    <w:tmpl w:val="1B40E89A"/>
    <w:lvl w:ilvl="0">
      <w:start w:val="1"/>
      <w:numFmt w:val="bullet"/>
      <w:lvlText w:val=""/>
      <w:lvlJc w:val="left"/>
      <w:pPr>
        <w:tabs>
          <w:tab w:val="num" w:pos="1800"/>
        </w:tabs>
        <w:ind w:left="108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860047"/>
    <w:multiLevelType w:val="multilevel"/>
    <w:tmpl w:val="972CF1C8"/>
    <w:styleLink w:val="StyleBulleted"/>
    <w:lvl w:ilvl="0">
      <w:start w:val="1"/>
      <w:numFmt w:val="bullet"/>
      <w:lvlText w:val=""/>
      <w:lvlJc w:val="left"/>
      <w:pPr>
        <w:tabs>
          <w:tab w:val="num" w:pos="1474"/>
        </w:tabs>
        <w:ind w:left="964" w:hanging="624"/>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18055142">
    <w:abstractNumId w:val="3"/>
  </w:num>
  <w:num w:numId="2" w16cid:durableId="674462032">
    <w:abstractNumId w:val="2"/>
  </w:num>
  <w:num w:numId="3" w16cid:durableId="789470872">
    <w:abstractNumId w:val="1"/>
  </w:num>
  <w:num w:numId="4" w16cid:durableId="718088982">
    <w:abstractNumId w:val="0"/>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8"/>
          </w:tabs>
          <w:ind w:left="1448" w:hanging="720"/>
        </w:pPr>
        <w:rPr>
          <w:rFonts w:ascii="Arial" w:hAnsi="Arial"/>
          <w:b/>
          <w:bCs/>
          <w:sz w:val="24"/>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 w16cid:durableId="682437604">
    <w:abstractNumId w:val="4"/>
  </w:num>
  <w:num w:numId="6" w16cid:durableId="9681726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8361C9"/>
    <w:rsid w:val="000179B3"/>
    <w:rsid w:val="00020BD4"/>
    <w:rsid w:val="000243C1"/>
    <w:rsid w:val="0002557F"/>
    <w:rsid w:val="000319DA"/>
    <w:rsid w:val="00031CF3"/>
    <w:rsid w:val="000345D8"/>
    <w:rsid w:val="00051A93"/>
    <w:rsid w:val="00093E60"/>
    <w:rsid w:val="000A0B79"/>
    <w:rsid w:val="000B0741"/>
    <w:rsid w:val="000B2B1F"/>
    <w:rsid w:val="000B6041"/>
    <w:rsid w:val="000D1F44"/>
    <w:rsid w:val="000D4ACB"/>
    <w:rsid w:val="00110081"/>
    <w:rsid w:val="00142C02"/>
    <w:rsid w:val="00143405"/>
    <w:rsid w:val="0014577D"/>
    <w:rsid w:val="001524D3"/>
    <w:rsid w:val="00165531"/>
    <w:rsid w:val="00182390"/>
    <w:rsid w:val="001A192D"/>
    <w:rsid w:val="001A3B8C"/>
    <w:rsid w:val="001B38FF"/>
    <w:rsid w:val="001C3837"/>
    <w:rsid w:val="001C3A05"/>
    <w:rsid w:val="001C64B0"/>
    <w:rsid w:val="001C7ACD"/>
    <w:rsid w:val="001E737A"/>
    <w:rsid w:val="00200287"/>
    <w:rsid w:val="00213A85"/>
    <w:rsid w:val="002334DE"/>
    <w:rsid w:val="00233CC3"/>
    <w:rsid w:val="00241B5E"/>
    <w:rsid w:val="00250845"/>
    <w:rsid w:val="00276E72"/>
    <w:rsid w:val="00280D13"/>
    <w:rsid w:val="0029197D"/>
    <w:rsid w:val="002A52E6"/>
    <w:rsid w:val="002D4953"/>
    <w:rsid w:val="002F2660"/>
    <w:rsid w:val="0030270A"/>
    <w:rsid w:val="003036FA"/>
    <w:rsid w:val="0030417D"/>
    <w:rsid w:val="00334A4B"/>
    <w:rsid w:val="0033595A"/>
    <w:rsid w:val="003371FF"/>
    <w:rsid w:val="00363775"/>
    <w:rsid w:val="00367EB8"/>
    <w:rsid w:val="00370B73"/>
    <w:rsid w:val="00373ACB"/>
    <w:rsid w:val="003840AF"/>
    <w:rsid w:val="00386207"/>
    <w:rsid w:val="00390D76"/>
    <w:rsid w:val="003A52BD"/>
    <w:rsid w:val="003D6C00"/>
    <w:rsid w:val="003E05C3"/>
    <w:rsid w:val="003F6428"/>
    <w:rsid w:val="003F644E"/>
    <w:rsid w:val="0040664D"/>
    <w:rsid w:val="00410ABF"/>
    <w:rsid w:val="0041586F"/>
    <w:rsid w:val="0041597C"/>
    <w:rsid w:val="00423758"/>
    <w:rsid w:val="00426C78"/>
    <w:rsid w:val="00427A2F"/>
    <w:rsid w:val="0044325B"/>
    <w:rsid w:val="00473B09"/>
    <w:rsid w:val="00475BA0"/>
    <w:rsid w:val="0048376D"/>
    <w:rsid w:val="0049210F"/>
    <w:rsid w:val="00494CC5"/>
    <w:rsid w:val="004D07C8"/>
    <w:rsid w:val="004D304C"/>
    <w:rsid w:val="004D77F9"/>
    <w:rsid w:val="004E481B"/>
    <w:rsid w:val="004F3027"/>
    <w:rsid w:val="004F3E2E"/>
    <w:rsid w:val="004F5E94"/>
    <w:rsid w:val="00501C60"/>
    <w:rsid w:val="00504AC8"/>
    <w:rsid w:val="00512E60"/>
    <w:rsid w:val="00525B32"/>
    <w:rsid w:val="0053496A"/>
    <w:rsid w:val="005374CD"/>
    <w:rsid w:val="00545D5C"/>
    <w:rsid w:val="0054742D"/>
    <w:rsid w:val="00552AB8"/>
    <w:rsid w:val="00555982"/>
    <w:rsid w:val="00563435"/>
    <w:rsid w:val="0057795B"/>
    <w:rsid w:val="0059753C"/>
    <w:rsid w:val="005A32CD"/>
    <w:rsid w:val="005A7813"/>
    <w:rsid w:val="005B6FE9"/>
    <w:rsid w:val="005C36CC"/>
    <w:rsid w:val="005E7E9C"/>
    <w:rsid w:val="005F0E4D"/>
    <w:rsid w:val="005F62AD"/>
    <w:rsid w:val="00601E6A"/>
    <w:rsid w:val="00601F7D"/>
    <w:rsid w:val="0060596E"/>
    <w:rsid w:val="00605B72"/>
    <w:rsid w:val="00606970"/>
    <w:rsid w:val="00614FDA"/>
    <w:rsid w:val="00620713"/>
    <w:rsid w:val="006258E1"/>
    <w:rsid w:val="00634B46"/>
    <w:rsid w:val="006355A1"/>
    <w:rsid w:val="006526F9"/>
    <w:rsid w:val="00680B7A"/>
    <w:rsid w:val="006953C8"/>
    <w:rsid w:val="006A0229"/>
    <w:rsid w:val="006B1129"/>
    <w:rsid w:val="006C0968"/>
    <w:rsid w:val="006C27F8"/>
    <w:rsid w:val="006D4736"/>
    <w:rsid w:val="006D5410"/>
    <w:rsid w:val="006E029A"/>
    <w:rsid w:val="006E034F"/>
    <w:rsid w:val="006E4CA7"/>
    <w:rsid w:val="006E690F"/>
    <w:rsid w:val="006F33F6"/>
    <w:rsid w:val="00715F32"/>
    <w:rsid w:val="00722436"/>
    <w:rsid w:val="007301C5"/>
    <w:rsid w:val="00732555"/>
    <w:rsid w:val="0073291F"/>
    <w:rsid w:val="00755A82"/>
    <w:rsid w:val="00757FB0"/>
    <w:rsid w:val="00761A5F"/>
    <w:rsid w:val="00765D50"/>
    <w:rsid w:val="007825B1"/>
    <w:rsid w:val="007C17F2"/>
    <w:rsid w:val="007C6F31"/>
    <w:rsid w:val="007E4EAA"/>
    <w:rsid w:val="007E57E7"/>
    <w:rsid w:val="007E5EAC"/>
    <w:rsid w:val="007F0870"/>
    <w:rsid w:val="007F4369"/>
    <w:rsid w:val="008065F7"/>
    <w:rsid w:val="008207F8"/>
    <w:rsid w:val="00833508"/>
    <w:rsid w:val="008361C9"/>
    <w:rsid w:val="00845263"/>
    <w:rsid w:val="00845B7D"/>
    <w:rsid w:val="00847F83"/>
    <w:rsid w:val="00852DBD"/>
    <w:rsid w:val="00853B27"/>
    <w:rsid w:val="0087739A"/>
    <w:rsid w:val="008801A5"/>
    <w:rsid w:val="00886BFD"/>
    <w:rsid w:val="00891DBE"/>
    <w:rsid w:val="008B5D0A"/>
    <w:rsid w:val="008C4CC6"/>
    <w:rsid w:val="008C6F9E"/>
    <w:rsid w:val="008E0A02"/>
    <w:rsid w:val="008E0E45"/>
    <w:rsid w:val="008E102A"/>
    <w:rsid w:val="008E4DE2"/>
    <w:rsid w:val="008F12AD"/>
    <w:rsid w:val="00914118"/>
    <w:rsid w:val="00922766"/>
    <w:rsid w:val="0092428F"/>
    <w:rsid w:val="009255AD"/>
    <w:rsid w:val="00940493"/>
    <w:rsid w:val="00951DF8"/>
    <w:rsid w:val="00962A9D"/>
    <w:rsid w:val="00970680"/>
    <w:rsid w:val="0097149C"/>
    <w:rsid w:val="009A76AF"/>
    <w:rsid w:val="009B2AD2"/>
    <w:rsid w:val="009B2D06"/>
    <w:rsid w:val="009B6924"/>
    <w:rsid w:val="009B6E23"/>
    <w:rsid w:val="009D4893"/>
    <w:rsid w:val="009E1DFB"/>
    <w:rsid w:val="009F0B13"/>
    <w:rsid w:val="00A12E22"/>
    <w:rsid w:val="00A22D4E"/>
    <w:rsid w:val="00A42096"/>
    <w:rsid w:val="00A50F38"/>
    <w:rsid w:val="00A6576B"/>
    <w:rsid w:val="00A70983"/>
    <w:rsid w:val="00A9048F"/>
    <w:rsid w:val="00AB7923"/>
    <w:rsid w:val="00AE023A"/>
    <w:rsid w:val="00AE0D3C"/>
    <w:rsid w:val="00AE3D71"/>
    <w:rsid w:val="00AE4225"/>
    <w:rsid w:val="00AE4EF9"/>
    <w:rsid w:val="00AF5D38"/>
    <w:rsid w:val="00AF7E21"/>
    <w:rsid w:val="00B001E0"/>
    <w:rsid w:val="00B03F45"/>
    <w:rsid w:val="00B04F31"/>
    <w:rsid w:val="00B34F39"/>
    <w:rsid w:val="00B42D94"/>
    <w:rsid w:val="00BA2D6B"/>
    <w:rsid w:val="00BB6B4E"/>
    <w:rsid w:val="00BC7AC6"/>
    <w:rsid w:val="00C07872"/>
    <w:rsid w:val="00C41AE9"/>
    <w:rsid w:val="00C42234"/>
    <w:rsid w:val="00C536BA"/>
    <w:rsid w:val="00C84BDB"/>
    <w:rsid w:val="00C93E4D"/>
    <w:rsid w:val="00CB3B8D"/>
    <w:rsid w:val="00CB5587"/>
    <w:rsid w:val="00CC4B0C"/>
    <w:rsid w:val="00CD32BA"/>
    <w:rsid w:val="00CD78D1"/>
    <w:rsid w:val="00CE5A2D"/>
    <w:rsid w:val="00D00EC6"/>
    <w:rsid w:val="00D02F0C"/>
    <w:rsid w:val="00D43011"/>
    <w:rsid w:val="00D620E0"/>
    <w:rsid w:val="00D80EDE"/>
    <w:rsid w:val="00D838B4"/>
    <w:rsid w:val="00D860B6"/>
    <w:rsid w:val="00D8686A"/>
    <w:rsid w:val="00D868D1"/>
    <w:rsid w:val="00DA5507"/>
    <w:rsid w:val="00DB7E33"/>
    <w:rsid w:val="00DC2055"/>
    <w:rsid w:val="00DC69BA"/>
    <w:rsid w:val="00DC7DFF"/>
    <w:rsid w:val="00DD171F"/>
    <w:rsid w:val="00E00E41"/>
    <w:rsid w:val="00E05F0A"/>
    <w:rsid w:val="00E100D2"/>
    <w:rsid w:val="00E14180"/>
    <w:rsid w:val="00E245D5"/>
    <w:rsid w:val="00E33E5B"/>
    <w:rsid w:val="00E33F9F"/>
    <w:rsid w:val="00E4466E"/>
    <w:rsid w:val="00E472D8"/>
    <w:rsid w:val="00E57FD2"/>
    <w:rsid w:val="00E769B4"/>
    <w:rsid w:val="00EB1F4D"/>
    <w:rsid w:val="00EB2C2D"/>
    <w:rsid w:val="00ED1271"/>
    <w:rsid w:val="00ED5B30"/>
    <w:rsid w:val="00EE221B"/>
    <w:rsid w:val="00EE61A4"/>
    <w:rsid w:val="00F01E8F"/>
    <w:rsid w:val="00F11998"/>
    <w:rsid w:val="00F129B1"/>
    <w:rsid w:val="00F16CFD"/>
    <w:rsid w:val="00F23565"/>
    <w:rsid w:val="00F27F84"/>
    <w:rsid w:val="00F35A83"/>
    <w:rsid w:val="00F44150"/>
    <w:rsid w:val="00F63878"/>
    <w:rsid w:val="00F720B6"/>
    <w:rsid w:val="00F8688C"/>
    <w:rsid w:val="00F94A3E"/>
    <w:rsid w:val="00F96159"/>
    <w:rsid w:val="00FA117B"/>
    <w:rsid w:val="00FA1752"/>
    <w:rsid w:val="00FB2652"/>
    <w:rsid w:val="00FB72A5"/>
    <w:rsid w:val="00FC3B47"/>
    <w:rsid w:val="00FC7CB7"/>
    <w:rsid w:val="00FD1754"/>
    <w:rsid w:val="00FE4F5B"/>
    <w:rsid w:val="00FE66A9"/>
    <w:rsid w:val="00FF3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04596B6"/>
  <w15:docId w15:val="{AAB5E7A7-0BED-4AFF-AD15-08001E8B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9B1"/>
    <w:pPr>
      <w:spacing w:line="276" w:lineRule="auto"/>
    </w:pPr>
    <w:rPr>
      <w:rFonts w:ascii="Calibri" w:hAnsi="Calibri"/>
      <w:sz w:val="22"/>
      <w:lang w:eastAsia="en-US"/>
    </w:rPr>
  </w:style>
  <w:style w:type="paragraph" w:styleId="Heading1">
    <w:name w:val="heading 1"/>
    <w:basedOn w:val="Normal"/>
    <w:next w:val="Normal"/>
    <w:qFormat/>
    <w:rsid w:val="00410ABF"/>
    <w:pPr>
      <w:keepNext/>
      <w:spacing w:before="240" w:after="60"/>
      <w:outlineLvl w:val="0"/>
    </w:pPr>
    <w:rPr>
      <w:b/>
      <w:iCs/>
      <w:caps/>
      <w:kern w:val="28"/>
      <w:sz w:val="28"/>
      <w:lang w:val="en-US"/>
    </w:rPr>
  </w:style>
  <w:style w:type="paragraph" w:styleId="Heading2">
    <w:name w:val="heading 2"/>
    <w:basedOn w:val="Normal"/>
    <w:next w:val="Normal"/>
    <w:qFormat/>
    <w:rsid w:val="00962A9D"/>
    <w:pPr>
      <w:keepNext/>
      <w:spacing w:before="240" w:after="60"/>
      <w:outlineLvl w:val="1"/>
    </w:pPr>
    <w:rPr>
      <w:rFonts w:cs="Arial"/>
      <w:b/>
      <w:bCs/>
      <w:sz w:val="24"/>
      <w:szCs w:val="28"/>
      <w:lang w:val="en-US"/>
    </w:rPr>
  </w:style>
  <w:style w:type="paragraph" w:styleId="Heading3">
    <w:name w:val="heading 3"/>
    <w:basedOn w:val="Normal"/>
    <w:next w:val="Normal"/>
    <w:qFormat/>
    <w:rsid w:val="00962A9D"/>
    <w:pPr>
      <w:keepNext/>
      <w:spacing w:before="240" w:after="60"/>
      <w:outlineLvl w:val="2"/>
    </w:pPr>
    <w:rPr>
      <w:rFonts w:cs="Arial"/>
      <w:b/>
      <w:bCs/>
      <w:sz w:val="26"/>
      <w:szCs w:val="26"/>
    </w:rPr>
  </w:style>
  <w:style w:type="paragraph" w:styleId="Heading4">
    <w:name w:val="heading 4"/>
    <w:basedOn w:val="Footer"/>
    <w:next w:val="Normal"/>
    <w:link w:val="Heading4Char"/>
    <w:qFormat/>
    <w:rsid w:val="00A9048F"/>
    <w:pPr>
      <w:jc w:val="center"/>
      <w:outlineLvl w:val="3"/>
    </w:pPr>
    <w:rPr>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2A9D"/>
    <w:pPr>
      <w:tabs>
        <w:tab w:val="center" w:pos="4320"/>
        <w:tab w:val="right" w:pos="8640"/>
      </w:tabs>
    </w:pPr>
    <w:rPr>
      <w:rFonts w:cs="Tahoma"/>
    </w:rPr>
  </w:style>
  <w:style w:type="paragraph" w:styleId="Footer">
    <w:name w:val="footer"/>
    <w:basedOn w:val="Normal"/>
    <w:link w:val="FooterChar"/>
    <w:rsid w:val="00962A9D"/>
    <w:pPr>
      <w:tabs>
        <w:tab w:val="center" w:pos="4320"/>
        <w:tab w:val="right" w:pos="8640"/>
      </w:tabs>
    </w:pPr>
    <w:rPr>
      <w:rFonts w:cs="Tahoma"/>
    </w:rPr>
  </w:style>
  <w:style w:type="table" w:styleId="TableGrid">
    <w:name w:val="Table Grid"/>
    <w:basedOn w:val="TableNormal"/>
    <w:rsid w:val="00CD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s">
    <w:name w:val="Headings"/>
    <w:rsid w:val="00CD78D1"/>
    <w:rPr>
      <w:rFonts w:ascii="Arial" w:hAnsi="Arial"/>
      <w:b/>
      <w:bCs/>
      <w:sz w:val="24"/>
    </w:rPr>
  </w:style>
  <w:style w:type="paragraph" w:customStyle="1" w:styleId="BodyTextFrontPage">
    <w:name w:val="BodyText Front Page"/>
    <w:basedOn w:val="Normal"/>
    <w:rsid w:val="00D838B4"/>
    <w:pPr>
      <w:framePr w:hSpace="180" w:wrap="around" w:vAnchor="text" w:hAnchor="margin" w:xAlign="center" w:y="37"/>
      <w:jc w:val="center"/>
    </w:pPr>
    <w:rPr>
      <w:sz w:val="24"/>
    </w:rPr>
  </w:style>
  <w:style w:type="paragraph" w:styleId="TOC2">
    <w:name w:val="toc 2"/>
    <w:basedOn w:val="Heading2"/>
    <w:next w:val="Normal"/>
    <w:autoRedefine/>
    <w:semiHidden/>
    <w:rsid w:val="00A6576B"/>
    <w:pPr>
      <w:keepNext w:val="0"/>
      <w:spacing w:before="120" w:after="0"/>
      <w:ind w:left="220"/>
      <w:outlineLvl w:val="9"/>
    </w:pPr>
    <w:rPr>
      <w:rFonts w:cs="Times New Roman"/>
      <w:b w:val="0"/>
      <w:bCs w:val="0"/>
      <w:iCs/>
      <w:szCs w:val="20"/>
      <w:lang w:val="en-GB"/>
    </w:rPr>
  </w:style>
  <w:style w:type="paragraph" w:styleId="TOC1">
    <w:name w:val="toc 1"/>
    <w:basedOn w:val="Normal"/>
    <w:next w:val="Normal"/>
    <w:autoRedefine/>
    <w:semiHidden/>
    <w:rsid w:val="00DC69BA"/>
    <w:pPr>
      <w:spacing w:before="240" w:after="120"/>
    </w:pPr>
    <w:rPr>
      <w:b/>
      <w:bCs/>
    </w:rPr>
  </w:style>
  <w:style w:type="paragraph" w:styleId="TOC3">
    <w:name w:val="toc 3"/>
    <w:basedOn w:val="Normal"/>
    <w:next w:val="Normal"/>
    <w:autoRedefine/>
    <w:semiHidden/>
    <w:rsid w:val="00A6576B"/>
    <w:pPr>
      <w:ind w:left="440"/>
    </w:pPr>
  </w:style>
  <w:style w:type="paragraph" w:styleId="TOC4">
    <w:name w:val="toc 4"/>
    <w:basedOn w:val="Normal"/>
    <w:next w:val="Normal"/>
    <w:autoRedefine/>
    <w:semiHidden/>
    <w:rsid w:val="00962A9D"/>
    <w:pPr>
      <w:ind w:left="660"/>
    </w:pPr>
    <w:rPr>
      <w:rFonts w:ascii="Times New Roman" w:hAnsi="Times New Roman"/>
      <w:sz w:val="20"/>
    </w:rPr>
  </w:style>
  <w:style w:type="paragraph" w:styleId="TOC5">
    <w:name w:val="toc 5"/>
    <w:basedOn w:val="Normal"/>
    <w:next w:val="Normal"/>
    <w:autoRedefine/>
    <w:semiHidden/>
    <w:rsid w:val="00962A9D"/>
    <w:pPr>
      <w:ind w:left="880"/>
    </w:pPr>
    <w:rPr>
      <w:rFonts w:ascii="Times New Roman" w:hAnsi="Times New Roman"/>
      <w:sz w:val="20"/>
    </w:rPr>
  </w:style>
  <w:style w:type="paragraph" w:styleId="TOC6">
    <w:name w:val="toc 6"/>
    <w:basedOn w:val="Normal"/>
    <w:next w:val="Normal"/>
    <w:autoRedefine/>
    <w:semiHidden/>
    <w:rsid w:val="00962A9D"/>
    <w:pPr>
      <w:ind w:left="1100"/>
    </w:pPr>
    <w:rPr>
      <w:rFonts w:ascii="Times New Roman" w:hAnsi="Times New Roman"/>
      <w:sz w:val="20"/>
    </w:rPr>
  </w:style>
  <w:style w:type="paragraph" w:styleId="TOC7">
    <w:name w:val="toc 7"/>
    <w:basedOn w:val="Normal"/>
    <w:next w:val="Normal"/>
    <w:autoRedefine/>
    <w:semiHidden/>
    <w:rsid w:val="00962A9D"/>
    <w:pPr>
      <w:ind w:left="1320"/>
    </w:pPr>
    <w:rPr>
      <w:rFonts w:ascii="Times New Roman" w:hAnsi="Times New Roman"/>
      <w:sz w:val="20"/>
    </w:rPr>
  </w:style>
  <w:style w:type="paragraph" w:styleId="TOC8">
    <w:name w:val="toc 8"/>
    <w:basedOn w:val="Normal"/>
    <w:next w:val="Normal"/>
    <w:autoRedefine/>
    <w:semiHidden/>
    <w:rsid w:val="00962A9D"/>
    <w:pPr>
      <w:ind w:left="1540"/>
    </w:pPr>
    <w:rPr>
      <w:rFonts w:ascii="Times New Roman" w:hAnsi="Times New Roman"/>
      <w:sz w:val="20"/>
    </w:rPr>
  </w:style>
  <w:style w:type="paragraph" w:styleId="TOC9">
    <w:name w:val="toc 9"/>
    <w:basedOn w:val="Normal"/>
    <w:next w:val="Normal"/>
    <w:autoRedefine/>
    <w:semiHidden/>
    <w:rsid w:val="00962A9D"/>
    <w:pPr>
      <w:ind w:left="1760"/>
    </w:pPr>
    <w:rPr>
      <w:rFonts w:ascii="Times New Roman" w:hAnsi="Times New Roman"/>
      <w:sz w:val="20"/>
    </w:rPr>
  </w:style>
  <w:style w:type="paragraph" w:customStyle="1" w:styleId="MainTitle">
    <w:name w:val="Main Title"/>
    <w:basedOn w:val="Heading1"/>
    <w:rsid w:val="00D838B4"/>
    <w:pPr>
      <w:jc w:val="center"/>
    </w:pPr>
    <w:rPr>
      <w:bCs/>
      <w:iCs w:val="0"/>
      <w:sz w:val="40"/>
    </w:rPr>
  </w:style>
  <w:style w:type="character" w:customStyle="1" w:styleId="FooterChar">
    <w:name w:val="Footer Char"/>
    <w:link w:val="Footer"/>
    <w:rsid w:val="00A9048F"/>
    <w:rPr>
      <w:rFonts w:ascii="Arial" w:hAnsi="Arial" w:cs="Tahoma"/>
      <w:sz w:val="22"/>
      <w:lang w:val="en-GB" w:eastAsia="en-US" w:bidi="ar-SA"/>
    </w:rPr>
  </w:style>
  <w:style w:type="character" w:customStyle="1" w:styleId="Heading4Char">
    <w:name w:val="Heading 4 Char"/>
    <w:link w:val="Heading4"/>
    <w:rsid w:val="00A9048F"/>
    <w:rPr>
      <w:rFonts w:ascii="Arial" w:hAnsi="Arial" w:cs="Tahoma"/>
      <w:b/>
      <w:bCs/>
      <w:color w:val="FF0000"/>
      <w:sz w:val="24"/>
      <w:szCs w:val="24"/>
      <w:lang w:val="en-GB" w:eastAsia="en-US" w:bidi="ar-SA"/>
    </w:rPr>
  </w:style>
  <w:style w:type="numbering" w:customStyle="1" w:styleId="Numbering-Main">
    <w:name w:val="Numbering - Main"/>
    <w:basedOn w:val="NoList"/>
    <w:rsid w:val="00620713"/>
    <w:pPr>
      <w:numPr>
        <w:numId w:val="2"/>
      </w:numPr>
    </w:pPr>
  </w:style>
  <w:style w:type="numbering" w:customStyle="1" w:styleId="Numbering-2ndLevel">
    <w:name w:val="Numbering - 2nd Level"/>
    <w:basedOn w:val="NoList"/>
    <w:rsid w:val="00891DBE"/>
    <w:pPr>
      <w:numPr>
        <w:numId w:val="3"/>
      </w:numPr>
    </w:pPr>
  </w:style>
  <w:style w:type="paragraph" w:customStyle="1" w:styleId="BodyText-2ndlevel">
    <w:name w:val="Body Text - 2nd level"/>
    <w:basedOn w:val="Normal"/>
    <w:rsid w:val="0002557F"/>
    <w:pPr>
      <w:ind w:left="1066"/>
    </w:pPr>
    <w:rPr>
      <w:sz w:val="24"/>
    </w:rPr>
  </w:style>
  <w:style w:type="paragraph" w:customStyle="1" w:styleId="Bodytext-1stLevel">
    <w:name w:val="Body text - 1st Level"/>
    <w:basedOn w:val="Normal"/>
    <w:rsid w:val="0002557F"/>
    <w:pPr>
      <w:ind w:left="390"/>
    </w:pPr>
    <w:rPr>
      <w:sz w:val="24"/>
    </w:rPr>
  </w:style>
  <w:style w:type="character" w:customStyle="1" w:styleId="BodyText-Tables2">
    <w:name w:val="Body Text - Tables 2"/>
    <w:rsid w:val="0059753C"/>
    <w:rPr>
      <w:rFonts w:ascii="Arial" w:hAnsi="Arial"/>
      <w:sz w:val="24"/>
    </w:rPr>
  </w:style>
  <w:style w:type="numbering" w:customStyle="1" w:styleId="StyleBulleted">
    <w:name w:val="Style Bulleted"/>
    <w:rsid w:val="00FA1752"/>
    <w:pPr>
      <w:numPr>
        <w:numId w:val="6"/>
      </w:numPr>
    </w:pPr>
  </w:style>
  <w:style w:type="paragraph" w:styleId="NoSpacing">
    <w:name w:val="No Spacing"/>
    <w:uiPriority w:val="1"/>
    <w:qFormat/>
    <w:rsid w:val="00386207"/>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90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9A439.FAC7809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DA1C0-6DFC-4954-8E26-ADFBD73C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Neisseria Gonorrhoeae Detection</vt:lpstr>
    </vt:vector>
  </TitlesOfParts>
  <Company>Basildon &amp; Thurrock GHT</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Neisseria Gonorrhoeae Detection</dc:title>
  <dc:subject/>
  <dc:creator>Katherine Reade</dc:creator>
  <cp:keywords/>
  <cp:lastModifiedBy>Emma Parker</cp:lastModifiedBy>
  <cp:revision>21</cp:revision>
  <cp:lastPrinted>2013-05-21T17:03:00Z</cp:lastPrinted>
  <dcterms:created xsi:type="dcterms:W3CDTF">2018-01-11T10:13:00Z</dcterms:created>
  <dcterms:modified xsi:type="dcterms:W3CDTF">2024-12-06T11:40:00Z</dcterms:modified>
</cp:coreProperties>
</file>