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DDED" w14:textId="77777777" w:rsidR="000319DA" w:rsidRDefault="000319DA" w:rsidP="000319DA"/>
    <w:tbl>
      <w:tblPr>
        <w:tblStyle w:val="TableGrid"/>
        <w:tblW w:w="106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5"/>
        <w:gridCol w:w="283"/>
        <w:gridCol w:w="7229"/>
      </w:tblGrid>
      <w:tr w:rsidR="009F0B13" w14:paraId="24DD64AF" w14:textId="77777777" w:rsidTr="003559A8">
        <w:trPr>
          <w:trHeight w:val="762"/>
        </w:trPr>
        <w:tc>
          <w:tcPr>
            <w:tcW w:w="10631" w:type="dxa"/>
            <w:gridSpan w:val="4"/>
          </w:tcPr>
          <w:p w14:paraId="5525C402" w14:textId="77777777" w:rsidR="009F0B13" w:rsidRPr="003559A8" w:rsidRDefault="004B549B" w:rsidP="00D02F0C">
            <w:pPr>
              <w:rPr>
                <w:b/>
                <w:sz w:val="36"/>
              </w:rPr>
            </w:pPr>
            <w:r>
              <w:rPr>
                <w:b/>
                <w:sz w:val="36"/>
              </w:rPr>
              <w:t>Urinary Amino</w:t>
            </w:r>
            <w:r w:rsidR="002F62A1" w:rsidRPr="003559A8">
              <w:rPr>
                <w:b/>
                <w:sz w:val="36"/>
              </w:rPr>
              <w:t xml:space="preserve"> Acids</w:t>
            </w:r>
          </w:p>
        </w:tc>
      </w:tr>
      <w:tr w:rsidR="009F0B13" w:rsidRPr="00F23565" w14:paraId="79ED28E3" w14:textId="77777777" w:rsidTr="009F0B13">
        <w:tc>
          <w:tcPr>
            <w:tcW w:w="3119" w:type="dxa"/>
            <w:gridSpan w:val="2"/>
            <w:shd w:val="clear" w:color="auto" w:fill="D9D9D9" w:themeFill="background1" w:themeFillShade="D9"/>
          </w:tcPr>
          <w:p w14:paraId="5C6C4CE3" w14:textId="77777777" w:rsidR="00BA2D6B" w:rsidRPr="00276E72" w:rsidRDefault="00BA2D6B" w:rsidP="004F3E2E">
            <w:pPr>
              <w:spacing w:line="360" w:lineRule="auto"/>
              <w:rPr>
                <w:b/>
                <w:sz w:val="24"/>
              </w:rPr>
            </w:pPr>
            <w:r w:rsidRPr="00276E72">
              <w:rPr>
                <w:b/>
                <w:sz w:val="24"/>
              </w:rPr>
              <w:t>Synonyms</w:t>
            </w:r>
          </w:p>
        </w:tc>
        <w:tc>
          <w:tcPr>
            <w:tcW w:w="283" w:type="dxa"/>
            <w:shd w:val="clear" w:color="auto" w:fill="auto"/>
          </w:tcPr>
          <w:p w14:paraId="41CE8CF6" w14:textId="77777777" w:rsidR="00BA2D6B" w:rsidRDefault="00BA2D6B" w:rsidP="004F3E2E">
            <w:pPr>
              <w:spacing w:line="360" w:lineRule="auto"/>
            </w:pPr>
          </w:p>
        </w:tc>
        <w:tc>
          <w:tcPr>
            <w:tcW w:w="7229" w:type="dxa"/>
            <w:shd w:val="clear" w:color="auto" w:fill="D9D9D9" w:themeFill="background1" w:themeFillShade="D9"/>
          </w:tcPr>
          <w:p w14:paraId="2C0293CF" w14:textId="77777777" w:rsidR="002F62A1" w:rsidRPr="0060596E" w:rsidRDefault="002F62A1" w:rsidP="004B549B">
            <w:pPr>
              <w:pStyle w:val="NoSpacing"/>
            </w:pPr>
            <w:r>
              <w:t xml:space="preserve"> </w:t>
            </w:r>
            <w:r w:rsidR="004B549B">
              <w:t>UAA</w:t>
            </w:r>
          </w:p>
        </w:tc>
      </w:tr>
      <w:tr w:rsidR="00BA2D6B" w:rsidRPr="00F23565" w14:paraId="0B0076C0" w14:textId="77777777" w:rsidTr="009F0B13">
        <w:tc>
          <w:tcPr>
            <w:tcW w:w="3119" w:type="dxa"/>
            <w:gridSpan w:val="2"/>
          </w:tcPr>
          <w:p w14:paraId="1A46919D" w14:textId="77777777" w:rsidR="00BA2D6B" w:rsidRPr="00276E72" w:rsidRDefault="00BA2D6B" w:rsidP="004F3E2E">
            <w:pPr>
              <w:spacing w:line="360" w:lineRule="auto"/>
              <w:rPr>
                <w:b/>
                <w:sz w:val="24"/>
              </w:rPr>
            </w:pPr>
            <w:r w:rsidRPr="00276E72">
              <w:rPr>
                <w:b/>
                <w:sz w:val="24"/>
              </w:rPr>
              <w:t>Clinical Indication</w:t>
            </w:r>
          </w:p>
        </w:tc>
        <w:tc>
          <w:tcPr>
            <w:tcW w:w="283" w:type="dxa"/>
            <w:shd w:val="clear" w:color="auto" w:fill="auto"/>
          </w:tcPr>
          <w:p w14:paraId="204D0556" w14:textId="77777777" w:rsidR="00BA2D6B" w:rsidRDefault="00BA2D6B" w:rsidP="004F3E2E">
            <w:pPr>
              <w:spacing w:line="360" w:lineRule="auto"/>
            </w:pPr>
          </w:p>
        </w:tc>
        <w:tc>
          <w:tcPr>
            <w:tcW w:w="7229" w:type="dxa"/>
          </w:tcPr>
          <w:p w14:paraId="45D26ACA" w14:textId="77777777" w:rsidR="004B549B" w:rsidRDefault="004B549B" w:rsidP="004B549B">
            <w:pPr>
              <w:autoSpaceDE w:val="0"/>
              <w:autoSpaceDN w:val="0"/>
              <w:adjustRightInd w:val="0"/>
              <w:spacing w:line="240" w:lineRule="auto"/>
              <w:rPr>
                <w:rFonts w:cs="Calibri"/>
                <w:szCs w:val="22"/>
                <w:lang w:eastAsia="en-GB"/>
              </w:rPr>
            </w:pPr>
            <w:r>
              <w:rPr>
                <w:rFonts w:cs="Calibri"/>
                <w:szCs w:val="22"/>
                <w:lang w:eastAsia="en-GB"/>
              </w:rPr>
              <w:t xml:space="preserve">Urine amino acids is not recommended as a first line test for the investigation of inherited metabolic disorders and plasma is the preferred sample type. </w:t>
            </w:r>
          </w:p>
          <w:p w14:paraId="3457AA37" w14:textId="77777777" w:rsidR="004B549B" w:rsidRPr="004B549B" w:rsidRDefault="004B549B" w:rsidP="004B549B">
            <w:pPr>
              <w:autoSpaceDE w:val="0"/>
              <w:autoSpaceDN w:val="0"/>
              <w:adjustRightInd w:val="0"/>
              <w:spacing w:line="240" w:lineRule="auto"/>
              <w:rPr>
                <w:rFonts w:asciiTheme="minorHAnsi" w:hAnsiTheme="minorHAnsi"/>
                <w:szCs w:val="22"/>
                <w:lang w:eastAsia="en-GB"/>
              </w:rPr>
            </w:pPr>
            <w:r w:rsidRPr="004B549B">
              <w:rPr>
                <w:rFonts w:asciiTheme="minorHAnsi" w:hAnsiTheme="minorHAnsi"/>
                <w:szCs w:val="22"/>
                <w:lang w:eastAsia="en-GB"/>
              </w:rPr>
              <w:t>Urine amino acid analysis is recommended in the investigation of the following disorders:</w:t>
            </w:r>
          </w:p>
          <w:p w14:paraId="2229C9DD" w14:textId="77777777" w:rsidR="004B549B" w:rsidRPr="004B549B" w:rsidRDefault="004B549B" w:rsidP="004B549B">
            <w:pPr>
              <w:pStyle w:val="ListParagraph"/>
              <w:numPr>
                <w:ilvl w:val="0"/>
                <w:numId w:val="7"/>
              </w:numPr>
              <w:autoSpaceDE w:val="0"/>
              <w:autoSpaceDN w:val="0"/>
              <w:adjustRightInd w:val="0"/>
              <w:spacing w:line="240" w:lineRule="auto"/>
              <w:rPr>
                <w:rFonts w:asciiTheme="minorHAnsi" w:hAnsiTheme="minorHAnsi"/>
                <w:szCs w:val="22"/>
                <w:lang w:eastAsia="en-GB"/>
              </w:rPr>
            </w:pPr>
            <w:r w:rsidRPr="004B549B">
              <w:rPr>
                <w:rFonts w:asciiTheme="minorHAnsi" w:hAnsiTheme="minorHAnsi"/>
                <w:szCs w:val="22"/>
                <w:lang w:eastAsia="en-GB"/>
              </w:rPr>
              <w:t xml:space="preserve">Primary renal tubular disease including cystinuria, lysinuric protein intolerance, </w:t>
            </w:r>
          </w:p>
          <w:p w14:paraId="3831DA82" w14:textId="77777777" w:rsidR="004B549B" w:rsidRPr="004B549B" w:rsidRDefault="004B549B" w:rsidP="004B549B">
            <w:pPr>
              <w:pStyle w:val="ListParagraph"/>
              <w:numPr>
                <w:ilvl w:val="0"/>
                <w:numId w:val="7"/>
              </w:numPr>
              <w:autoSpaceDE w:val="0"/>
              <w:autoSpaceDN w:val="0"/>
              <w:adjustRightInd w:val="0"/>
              <w:spacing w:line="240" w:lineRule="auto"/>
              <w:rPr>
                <w:rFonts w:asciiTheme="minorHAnsi" w:hAnsiTheme="minorHAnsi"/>
                <w:szCs w:val="22"/>
                <w:lang w:eastAsia="en-GB"/>
              </w:rPr>
            </w:pPr>
            <w:r w:rsidRPr="004B549B">
              <w:rPr>
                <w:rFonts w:asciiTheme="minorHAnsi" w:hAnsiTheme="minorHAnsi"/>
                <w:szCs w:val="22"/>
                <w:lang w:eastAsia="en-GB"/>
              </w:rPr>
              <w:t>Hartnup disease.</w:t>
            </w:r>
          </w:p>
          <w:p w14:paraId="6B98820B" w14:textId="77777777" w:rsidR="004B549B" w:rsidRPr="004B549B" w:rsidRDefault="004B549B" w:rsidP="004B549B">
            <w:pPr>
              <w:pStyle w:val="ListParagraph"/>
              <w:numPr>
                <w:ilvl w:val="0"/>
                <w:numId w:val="7"/>
              </w:numPr>
              <w:autoSpaceDE w:val="0"/>
              <w:autoSpaceDN w:val="0"/>
              <w:adjustRightInd w:val="0"/>
              <w:spacing w:line="240" w:lineRule="auto"/>
              <w:rPr>
                <w:rFonts w:asciiTheme="minorHAnsi" w:hAnsiTheme="minorHAnsi"/>
                <w:szCs w:val="22"/>
                <w:lang w:eastAsia="en-GB"/>
              </w:rPr>
            </w:pPr>
            <w:r w:rsidRPr="004B549B">
              <w:rPr>
                <w:rFonts w:asciiTheme="minorHAnsi" w:hAnsiTheme="minorHAnsi"/>
                <w:szCs w:val="22"/>
                <w:lang w:eastAsia="en-GB"/>
              </w:rPr>
              <w:t>Renal tubular dysfunction secondary to another inherited metabolic disorder (IMD) including mitochondrial disease</w:t>
            </w:r>
          </w:p>
          <w:p w14:paraId="54C1D183" w14:textId="77777777" w:rsidR="004B549B" w:rsidRPr="004B549B" w:rsidRDefault="004B549B" w:rsidP="004B549B">
            <w:pPr>
              <w:pStyle w:val="ListParagraph"/>
              <w:numPr>
                <w:ilvl w:val="0"/>
                <w:numId w:val="7"/>
              </w:numPr>
              <w:autoSpaceDE w:val="0"/>
              <w:autoSpaceDN w:val="0"/>
              <w:adjustRightInd w:val="0"/>
              <w:spacing w:line="240" w:lineRule="auto"/>
              <w:rPr>
                <w:rFonts w:asciiTheme="minorHAnsi" w:hAnsiTheme="minorHAnsi"/>
                <w:szCs w:val="22"/>
                <w:lang w:eastAsia="en-GB"/>
              </w:rPr>
            </w:pPr>
            <w:r w:rsidRPr="004B549B">
              <w:rPr>
                <w:rFonts w:asciiTheme="minorHAnsi" w:hAnsiTheme="minorHAnsi"/>
                <w:szCs w:val="22"/>
                <w:lang w:eastAsia="en-GB"/>
              </w:rPr>
              <w:t>Sulphite oxidase deficiency and molybdenum cofactor deficiency</w:t>
            </w:r>
          </w:p>
          <w:p w14:paraId="2A8F6FA0" w14:textId="77777777" w:rsidR="004B549B" w:rsidRPr="004B549B" w:rsidRDefault="004B549B" w:rsidP="004B549B">
            <w:pPr>
              <w:pStyle w:val="ListParagraph"/>
              <w:numPr>
                <w:ilvl w:val="0"/>
                <w:numId w:val="7"/>
              </w:numPr>
              <w:autoSpaceDE w:val="0"/>
              <w:autoSpaceDN w:val="0"/>
              <w:adjustRightInd w:val="0"/>
              <w:spacing w:line="240" w:lineRule="auto"/>
              <w:rPr>
                <w:rFonts w:asciiTheme="minorHAnsi" w:hAnsiTheme="minorHAnsi"/>
                <w:szCs w:val="22"/>
                <w:lang w:eastAsia="en-GB"/>
              </w:rPr>
            </w:pPr>
            <w:r w:rsidRPr="004B549B">
              <w:rPr>
                <w:rFonts w:asciiTheme="minorHAnsi" w:hAnsiTheme="minorHAnsi"/>
                <w:szCs w:val="22"/>
                <w:lang w:eastAsia="en-GB"/>
              </w:rPr>
              <w:t>Hypophosphatasia</w:t>
            </w:r>
          </w:p>
          <w:p w14:paraId="5BBA0937" w14:textId="77777777" w:rsidR="00E22789" w:rsidRPr="0060596E" w:rsidRDefault="00E22789" w:rsidP="004B549B">
            <w:pPr>
              <w:pStyle w:val="NoSpacing"/>
              <w:rPr>
                <w:rFonts w:asciiTheme="minorHAnsi" w:hAnsiTheme="minorHAnsi"/>
                <w:szCs w:val="22"/>
                <w:lang w:eastAsia="en-GB"/>
              </w:rPr>
            </w:pPr>
          </w:p>
        </w:tc>
      </w:tr>
      <w:tr w:rsidR="009F0B13" w:rsidRPr="00F23565" w14:paraId="699BA9D0" w14:textId="77777777" w:rsidTr="009F0B13">
        <w:tc>
          <w:tcPr>
            <w:tcW w:w="3119" w:type="dxa"/>
            <w:gridSpan w:val="2"/>
            <w:shd w:val="clear" w:color="auto" w:fill="D9D9D9" w:themeFill="background1" w:themeFillShade="D9"/>
          </w:tcPr>
          <w:p w14:paraId="2BD84937" w14:textId="77777777" w:rsidR="00BA2D6B" w:rsidRPr="00276E72" w:rsidRDefault="00BA2D6B" w:rsidP="004F3E2E">
            <w:pPr>
              <w:spacing w:line="360" w:lineRule="auto"/>
              <w:rPr>
                <w:b/>
                <w:sz w:val="24"/>
              </w:rPr>
            </w:pPr>
            <w:r w:rsidRPr="00276E72">
              <w:rPr>
                <w:b/>
                <w:sz w:val="24"/>
              </w:rPr>
              <w:t>Part of Profile / See Also</w:t>
            </w:r>
          </w:p>
        </w:tc>
        <w:tc>
          <w:tcPr>
            <w:tcW w:w="283" w:type="dxa"/>
            <w:shd w:val="clear" w:color="auto" w:fill="auto"/>
          </w:tcPr>
          <w:p w14:paraId="237D95EE" w14:textId="77777777" w:rsidR="00BA2D6B" w:rsidRDefault="00BA2D6B" w:rsidP="004F3E2E">
            <w:pPr>
              <w:spacing w:line="360" w:lineRule="auto"/>
            </w:pPr>
          </w:p>
        </w:tc>
        <w:tc>
          <w:tcPr>
            <w:tcW w:w="7229" w:type="dxa"/>
            <w:shd w:val="clear" w:color="auto" w:fill="D9D9D9" w:themeFill="background1" w:themeFillShade="D9"/>
          </w:tcPr>
          <w:p w14:paraId="23ED81DC" w14:textId="77777777" w:rsidR="00BA2D6B" w:rsidRPr="0060596E" w:rsidRDefault="00BA2D6B" w:rsidP="004F3E2E">
            <w:pPr>
              <w:spacing w:line="360" w:lineRule="auto"/>
              <w:rPr>
                <w:rFonts w:asciiTheme="minorHAnsi" w:hAnsiTheme="minorHAnsi"/>
                <w:szCs w:val="22"/>
              </w:rPr>
            </w:pPr>
          </w:p>
        </w:tc>
      </w:tr>
      <w:tr w:rsidR="00BA2D6B" w:rsidRPr="00F23565" w14:paraId="4826EAB1" w14:textId="77777777" w:rsidTr="009F0B13">
        <w:tc>
          <w:tcPr>
            <w:tcW w:w="3119" w:type="dxa"/>
            <w:gridSpan w:val="2"/>
          </w:tcPr>
          <w:p w14:paraId="13CE890D" w14:textId="77777777" w:rsidR="00BA2D6B" w:rsidRPr="00276E72" w:rsidRDefault="00233CC3" w:rsidP="004F3E2E">
            <w:pPr>
              <w:spacing w:line="360" w:lineRule="auto"/>
              <w:rPr>
                <w:b/>
                <w:sz w:val="24"/>
              </w:rPr>
            </w:pPr>
            <w:r>
              <w:rPr>
                <w:b/>
                <w:sz w:val="24"/>
              </w:rPr>
              <w:t>Request F</w:t>
            </w:r>
            <w:r w:rsidR="00BA2D6B" w:rsidRPr="00276E72">
              <w:rPr>
                <w:b/>
                <w:sz w:val="24"/>
              </w:rPr>
              <w:t>o</w:t>
            </w:r>
            <w:r>
              <w:rPr>
                <w:b/>
                <w:sz w:val="24"/>
              </w:rPr>
              <w:t>r</w:t>
            </w:r>
            <w:r w:rsidR="00BA2D6B" w:rsidRPr="00276E72">
              <w:rPr>
                <w:b/>
                <w:sz w:val="24"/>
              </w:rPr>
              <w:t>m</w:t>
            </w:r>
          </w:p>
        </w:tc>
        <w:tc>
          <w:tcPr>
            <w:tcW w:w="283" w:type="dxa"/>
            <w:shd w:val="clear" w:color="auto" w:fill="auto"/>
          </w:tcPr>
          <w:p w14:paraId="756C6E31" w14:textId="77777777" w:rsidR="00BA2D6B" w:rsidRDefault="00BA2D6B" w:rsidP="004F3E2E">
            <w:pPr>
              <w:spacing w:line="360" w:lineRule="auto"/>
            </w:pPr>
          </w:p>
        </w:tc>
        <w:tc>
          <w:tcPr>
            <w:tcW w:w="7229" w:type="dxa"/>
          </w:tcPr>
          <w:p w14:paraId="5BCC5006" w14:textId="77777777" w:rsidR="00BA2D6B" w:rsidRPr="0060596E" w:rsidRDefault="002F62A1" w:rsidP="003559A8">
            <w:pPr>
              <w:autoSpaceDE w:val="0"/>
              <w:autoSpaceDN w:val="0"/>
              <w:adjustRightInd w:val="0"/>
              <w:spacing w:before="100" w:after="100" w:line="240" w:lineRule="auto"/>
              <w:rPr>
                <w:rFonts w:asciiTheme="minorHAnsi" w:hAnsiTheme="minorHAnsi"/>
                <w:szCs w:val="22"/>
                <w:lang w:eastAsia="en-GB"/>
              </w:rPr>
            </w:pPr>
            <w:r w:rsidRPr="002F62A1">
              <w:rPr>
                <w:rFonts w:asciiTheme="minorHAnsi" w:hAnsiTheme="minorHAnsi"/>
                <w:szCs w:val="22"/>
                <w:lang w:eastAsia="en-GB"/>
              </w:rPr>
              <w:t xml:space="preserve">Combined Pathology </w:t>
            </w:r>
            <w:r w:rsidR="003559A8">
              <w:rPr>
                <w:rFonts w:asciiTheme="minorHAnsi" w:hAnsiTheme="minorHAnsi"/>
                <w:szCs w:val="22"/>
                <w:lang w:eastAsia="en-GB"/>
              </w:rPr>
              <w:t xml:space="preserve">manual </w:t>
            </w:r>
            <w:r w:rsidRPr="002F62A1">
              <w:rPr>
                <w:rFonts w:asciiTheme="minorHAnsi" w:hAnsiTheme="minorHAnsi"/>
                <w:szCs w:val="22"/>
                <w:lang w:eastAsia="en-GB"/>
              </w:rPr>
              <w:t xml:space="preserve">Blood form </w:t>
            </w:r>
            <w:r w:rsidR="003559A8">
              <w:rPr>
                <w:rFonts w:asciiTheme="minorHAnsi" w:hAnsiTheme="minorHAnsi"/>
                <w:szCs w:val="22"/>
                <w:lang w:eastAsia="en-GB"/>
              </w:rPr>
              <w:t>or ICE request</w:t>
            </w:r>
          </w:p>
        </w:tc>
      </w:tr>
      <w:tr w:rsidR="00BA2D6B" w:rsidRPr="00F23565" w14:paraId="5881A524" w14:textId="77777777" w:rsidTr="00BA2D6B">
        <w:tc>
          <w:tcPr>
            <w:tcW w:w="3119" w:type="dxa"/>
            <w:gridSpan w:val="2"/>
            <w:shd w:val="clear" w:color="auto" w:fill="D9D9D9" w:themeFill="background1" w:themeFillShade="D9"/>
          </w:tcPr>
          <w:p w14:paraId="18067373" w14:textId="77777777" w:rsidR="00BA2D6B" w:rsidRPr="00276E72" w:rsidRDefault="00BA2D6B" w:rsidP="004F3E2E">
            <w:pPr>
              <w:spacing w:line="360" w:lineRule="auto"/>
              <w:rPr>
                <w:b/>
                <w:sz w:val="24"/>
              </w:rPr>
            </w:pPr>
            <w:r>
              <w:rPr>
                <w:b/>
                <w:sz w:val="24"/>
              </w:rPr>
              <w:t>Availability / Frequency of Analysis</w:t>
            </w:r>
          </w:p>
        </w:tc>
        <w:tc>
          <w:tcPr>
            <w:tcW w:w="283" w:type="dxa"/>
            <w:shd w:val="clear" w:color="auto" w:fill="auto"/>
          </w:tcPr>
          <w:p w14:paraId="4A87D2E0" w14:textId="77777777" w:rsidR="00BA2D6B" w:rsidRDefault="00BA2D6B" w:rsidP="004F3E2E">
            <w:pPr>
              <w:spacing w:line="360" w:lineRule="auto"/>
            </w:pPr>
          </w:p>
        </w:tc>
        <w:tc>
          <w:tcPr>
            <w:tcW w:w="7229" w:type="dxa"/>
            <w:shd w:val="clear" w:color="auto" w:fill="D9D9D9" w:themeFill="background1" w:themeFillShade="D9"/>
          </w:tcPr>
          <w:p w14:paraId="57B1BBE2" w14:textId="51FD1830" w:rsidR="00BA2D6B" w:rsidRPr="0060596E" w:rsidRDefault="003559A8" w:rsidP="00BA2D6B">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 xml:space="preserve">Referred test: </w:t>
            </w:r>
            <w:r w:rsidR="00053BBC">
              <w:rPr>
                <w:rFonts w:asciiTheme="minorHAnsi" w:hAnsiTheme="minorHAnsi"/>
                <w:szCs w:val="22"/>
                <w:lang w:eastAsia="en-GB"/>
              </w:rPr>
              <w:t>Analysed by Chemical Pathology, Great Ormond Street Hospital</w:t>
            </w:r>
            <w:r w:rsidR="00886E1B">
              <w:rPr>
                <w:rFonts w:asciiTheme="minorHAnsi" w:hAnsiTheme="minorHAnsi"/>
                <w:color w:val="0070C0"/>
                <w:szCs w:val="22"/>
                <w:lang w:eastAsia="en-GB"/>
              </w:rPr>
              <w:t xml:space="preserve"> (8692)</w:t>
            </w:r>
            <w:r w:rsidR="00053BBC">
              <w:rPr>
                <w:rFonts w:asciiTheme="minorHAnsi" w:hAnsiTheme="minorHAnsi"/>
                <w:szCs w:val="22"/>
                <w:lang w:eastAsia="en-GB"/>
              </w:rPr>
              <w:t>,</w:t>
            </w:r>
            <w:r w:rsidR="002F62A1" w:rsidRPr="002F62A1">
              <w:rPr>
                <w:rFonts w:asciiTheme="minorHAnsi" w:hAnsiTheme="minorHAnsi"/>
                <w:szCs w:val="22"/>
                <w:lang w:eastAsia="en-GB"/>
              </w:rPr>
              <w:t xml:space="preserve"> if specific criteria met.</w:t>
            </w:r>
          </w:p>
        </w:tc>
      </w:tr>
      <w:tr w:rsidR="00BA2D6B" w:rsidRPr="00F23565" w14:paraId="5BE46B22" w14:textId="77777777" w:rsidTr="00BA2D6B">
        <w:tc>
          <w:tcPr>
            <w:tcW w:w="3119" w:type="dxa"/>
            <w:gridSpan w:val="2"/>
          </w:tcPr>
          <w:p w14:paraId="00A94055" w14:textId="77777777" w:rsidR="00BA2D6B" w:rsidRPr="00276E72" w:rsidRDefault="00BA2D6B" w:rsidP="004F3E2E">
            <w:pPr>
              <w:spacing w:line="360" w:lineRule="auto"/>
              <w:rPr>
                <w:b/>
                <w:sz w:val="24"/>
              </w:rPr>
            </w:pPr>
            <w:r w:rsidRPr="00276E72">
              <w:rPr>
                <w:b/>
                <w:sz w:val="24"/>
              </w:rPr>
              <w:t>Turnaround Time</w:t>
            </w:r>
          </w:p>
        </w:tc>
        <w:tc>
          <w:tcPr>
            <w:tcW w:w="283" w:type="dxa"/>
            <w:shd w:val="clear" w:color="auto" w:fill="auto"/>
          </w:tcPr>
          <w:p w14:paraId="78159FB8" w14:textId="77777777" w:rsidR="00BA2D6B" w:rsidRDefault="00BA2D6B" w:rsidP="004F3E2E">
            <w:pPr>
              <w:spacing w:line="360" w:lineRule="auto"/>
            </w:pPr>
          </w:p>
        </w:tc>
        <w:tc>
          <w:tcPr>
            <w:tcW w:w="7229" w:type="dxa"/>
          </w:tcPr>
          <w:p w14:paraId="709D4170" w14:textId="77777777" w:rsidR="00BA2D6B" w:rsidRPr="0060596E" w:rsidRDefault="004256CD" w:rsidP="004F3E2E">
            <w:pPr>
              <w:spacing w:line="360" w:lineRule="auto"/>
              <w:rPr>
                <w:rFonts w:asciiTheme="minorHAnsi" w:hAnsiTheme="minorHAnsi"/>
                <w:szCs w:val="22"/>
              </w:rPr>
            </w:pPr>
            <w:r>
              <w:rPr>
                <w:rFonts w:asciiTheme="minorHAnsi" w:hAnsiTheme="minorHAnsi"/>
                <w:szCs w:val="22"/>
              </w:rPr>
              <w:t>3-6</w:t>
            </w:r>
            <w:r w:rsidR="002F62A1" w:rsidRPr="002F62A1">
              <w:rPr>
                <w:rFonts w:asciiTheme="minorHAnsi" w:hAnsiTheme="minorHAnsi"/>
                <w:szCs w:val="22"/>
              </w:rPr>
              <w:t xml:space="preserve"> weeks</w:t>
            </w:r>
          </w:p>
        </w:tc>
      </w:tr>
      <w:tr w:rsidR="00BA2D6B" w:rsidRPr="00F23565" w14:paraId="2230DBE8" w14:textId="77777777" w:rsidTr="00BA2D6B">
        <w:tc>
          <w:tcPr>
            <w:tcW w:w="3119" w:type="dxa"/>
            <w:gridSpan w:val="2"/>
            <w:shd w:val="clear" w:color="auto" w:fill="D9D9D9" w:themeFill="background1" w:themeFillShade="D9"/>
          </w:tcPr>
          <w:p w14:paraId="64EEE485" w14:textId="77777777" w:rsidR="00BA2D6B" w:rsidRPr="00276E72" w:rsidRDefault="00BA2D6B" w:rsidP="004F3E2E">
            <w:pPr>
              <w:spacing w:line="360" w:lineRule="auto"/>
              <w:rPr>
                <w:b/>
                <w:sz w:val="24"/>
              </w:rPr>
            </w:pPr>
            <w:r w:rsidRPr="00276E72">
              <w:rPr>
                <w:b/>
                <w:sz w:val="24"/>
              </w:rPr>
              <w:t>Patient Preparation</w:t>
            </w:r>
          </w:p>
        </w:tc>
        <w:tc>
          <w:tcPr>
            <w:tcW w:w="283" w:type="dxa"/>
            <w:shd w:val="clear" w:color="auto" w:fill="auto"/>
          </w:tcPr>
          <w:p w14:paraId="3BC1B51B" w14:textId="77777777" w:rsidR="00BA2D6B" w:rsidRDefault="00BA2D6B" w:rsidP="004F3E2E">
            <w:pPr>
              <w:spacing w:line="360" w:lineRule="auto"/>
            </w:pPr>
          </w:p>
        </w:tc>
        <w:tc>
          <w:tcPr>
            <w:tcW w:w="7229" w:type="dxa"/>
            <w:shd w:val="clear" w:color="auto" w:fill="D9D9D9" w:themeFill="background1" w:themeFillShade="D9"/>
          </w:tcPr>
          <w:p w14:paraId="114DB124" w14:textId="77777777" w:rsidR="004B549B" w:rsidRDefault="004B549B" w:rsidP="004B549B">
            <w:pPr>
              <w:autoSpaceDE w:val="0"/>
              <w:autoSpaceDN w:val="0"/>
              <w:adjustRightInd w:val="0"/>
              <w:spacing w:line="240" w:lineRule="auto"/>
              <w:rPr>
                <w:rFonts w:cs="Calibri"/>
                <w:szCs w:val="22"/>
                <w:lang w:eastAsia="en-GB"/>
              </w:rPr>
            </w:pPr>
            <w:r>
              <w:rPr>
                <w:rFonts w:cs="Calibri"/>
                <w:szCs w:val="22"/>
                <w:lang w:eastAsia="en-GB"/>
              </w:rPr>
              <w:t>Collect sample as close to acute event as possible. If non-acute situation, an</w:t>
            </w:r>
          </w:p>
          <w:p w14:paraId="6C916DDE" w14:textId="77777777" w:rsidR="00BA2D6B" w:rsidRPr="0060596E" w:rsidRDefault="004B549B" w:rsidP="004B549B">
            <w:pPr>
              <w:pStyle w:val="NoSpacing"/>
            </w:pPr>
            <w:r>
              <w:rPr>
                <w:rFonts w:cs="Calibri"/>
                <w:szCs w:val="22"/>
                <w:lang w:eastAsia="en-GB"/>
              </w:rPr>
              <w:t>early morning sample is preferred. Avoid faecal or bacterial contamination.</w:t>
            </w:r>
          </w:p>
        </w:tc>
      </w:tr>
      <w:tr w:rsidR="00BA2D6B" w:rsidRPr="00F23565" w14:paraId="22B29449" w14:textId="77777777" w:rsidTr="00BA2D6B">
        <w:tc>
          <w:tcPr>
            <w:tcW w:w="3119" w:type="dxa"/>
            <w:gridSpan w:val="2"/>
          </w:tcPr>
          <w:p w14:paraId="4771094E" w14:textId="77777777" w:rsidR="00BA2D6B" w:rsidRPr="00276E72" w:rsidRDefault="00BA2D6B" w:rsidP="004F3E2E">
            <w:pPr>
              <w:spacing w:line="360" w:lineRule="auto"/>
              <w:rPr>
                <w:b/>
                <w:sz w:val="24"/>
              </w:rPr>
            </w:pPr>
            <w:r w:rsidRPr="00276E72">
              <w:rPr>
                <w:b/>
                <w:sz w:val="24"/>
              </w:rPr>
              <w:t>Sample Requirements</w:t>
            </w:r>
          </w:p>
        </w:tc>
        <w:tc>
          <w:tcPr>
            <w:tcW w:w="283" w:type="dxa"/>
            <w:shd w:val="clear" w:color="auto" w:fill="auto"/>
          </w:tcPr>
          <w:p w14:paraId="567ECDC0" w14:textId="77777777" w:rsidR="00BA2D6B" w:rsidRDefault="00BA2D6B" w:rsidP="004F3E2E">
            <w:pPr>
              <w:spacing w:line="360" w:lineRule="auto"/>
            </w:pPr>
          </w:p>
        </w:tc>
        <w:tc>
          <w:tcPr>
            <w:tcW w:w="7229" w:type="dxa"/>
          </w:tcPr>
          <w:p w14:paraId="59A8257A" w14:textId="77777777" w:rsidR="00BA2D6B" w:rsidRPr="0060596E" w:rsidRDefault="00BA2D6B" w:rsidP="004F3E2E">
            <w:pPr>
              <w:spacing w:line="360" w:lineRule="auto"/>
              <w:rPr>
                <w:rFonts w:asciiTheme="minorHAnsi" w:hAnsiTheme="minorHAnsi"/>
                <w:szCs w:val="22"/>
              </w:rPr>
            </w:pPr>
          </w:p>
        </w:tc>
      </w:tr>
      <w:tr w:rsidR="00BA2D6B" w:rsidRPr="00F23565" w14:paraId="026090C9" w14:textId="77777777" w:rsidTr="00BA2D6B">
        <w:trPr>
          <w:gridBefore w:val="1"/>
          <w:wBefore w:w="284" w:type="dxa"/>
        </w:trPr>
        <w:tc>
          <w:tcPr>
            <w:tcW w:w="2835" w:type="dxa"/>
          </w:tcPr>
          <w:p w14:paraId="37EF7BA1" w14:textId="77777777" w:rsidR="00BA2D6B" w:rsidRPr="00276E72" w:rsidRDefault="00BA2D6B" w:rsidP="004F3E2E">
            <w:pPr>
              <w:spacing w:line="360" w:lineRule="auto"/>
              <w:rPr>
                <w:b/>
                <w:sz w:val="24"/>
              </w:rPr>
            </w:pPr>
            <w:r>
              <w:rPr>
                <w:b/>
                <w:sz w:val="24"/>
              </w:rPr>
              <w:t>Specimen</w:t>
            </w:r>
            <w:r w:rsidRPr="00276E72">
              <w:rPr>
                <w:b/>
                <w:sz w:val="24"/>
              </w:rPr>
              <w:t xml:space="preserve"> Type</w:t>
            </w:r>
          </w:p>
        </w:tc>
        <w:tc>
          <w:tcPr>
            <w:tcW w:w="283" w:type="dxa"/>
            <w:shd w:val="clear" w:color="auto" w:fill="auto"/>
          </w:tcPr>
          <w:p w14:paraId="7966916C" w14:textId="77777777" w:rsidR="00BA2D6B" w:rsidRDefault="00BA2D6B" w:rsidP="004F3E2E">
            <w:pPr>
              <w:spacing w:line="360" w:lineRule="auto"/>
            </w:pPr>
          </w:p>
        </w:tc>
        <w:tc>
          <w:tcPr>
            <w:tcW w:w="7229" w:type="dxa"/>
          </w:tcPr>
          <w:p w14:paraId="6EE5D671" w14:textId="77777777" w:rsidR="00BA2D6B" w:rsidRPr="0060596E" w:rsidRDefault="002F62A1" w:rsidP="004F3E2E">
            <w:pPr>
              <w:spacing w:line="360" w:lineRule="auto"/>
              <w:rPr>
                <w:rFonts w:asciiTheme="minorHAnsi" w:hAnsiTheme="minorHAnsi"/>
                <w:szCs w:val="22"/>
              </w:rPr>
            </w:pPr>
            <w:r w:rsidRPr="002F62A1">
              <w:rPr>
                <w:rFonts w:asciiTheme="minorHAnsi" w:hAnsiTheme="minorHAnsi"/>
                <w:szCs w:val="22"/>
              </w:rPr>
              <w:t>Urine</w:t>
            </w:r>
          </w:p>
        </w:tc>
      </w:tr>
      <w:tr w:rsidR="00BA2D6B" w:rsidRPr="00F23565" w14:paraId="0796000D" w14:textId="77777777" w:rsidTr="00BA2D6B">
        <w:trPr>
          <w:gridBefore w:val="1"/>
          <w:wBefore w:w="284" w:type="dxa"/>
        </w:trPr>
        <w:tc>
          <w:tcPr>
            <w:tcW w:w="2835" w:type="dxa"/>
          </w:tcPr>
          <w:p w14:paraId="4D9F1981" w14:textId="77777777" w:rsidR="00BA2D6B" w:rsidRPr="00276E72" w:rsidRDefault="00BA2D6B" w:rsidP="004F3E2E">
            <w:pPr>
              <w:spacing w:line="360" w:lineRule="auto"/>
              <w:rPr>
                <w:b/>
                <w:sz w:val="24"/>
              </w:rPr>
            </w:pPr>
            <w:r w:rsidRPr="00276E72">
              <w:rPr>
                <w:b/>
                <w:sz w:val="24"/>
              </w:rPr>
              <w:t>Volume</w:t>
            </w:r>
          </w:p>
        </w:tc>
        <w:tc>
          <w:tcPr>
            <w:tcW w:w="283" w:type="dxa"/>
            <w:shd w:val="clear" w:color="auto" w:fill="auto"/>
          </w:tcPr>
          <w:p w14:paraId="6BA24354" w14:textId="77777777" w:rsidR="00BA2D6B" w:rsidRDefault="00BA2D6B" w:rsidP="004F3E2E">
            <w:pPr>
              <w:spacing w:line="360" w:lineRule="auto"/>
            </w:pPr>
          </w:p>
        </w:tc>
        <w:tc>
          <w:tcPr>
            <w:tcW w:w="7229" w:type="dxa"/>
          </w:tcPr>
          <w:p w14:paraId="4AFDD9B6" w14:textId="77777777" w:rsidR="00BA2D6B" w:rsidRPr="0060596E" w:rsidRDefault="002F62A1" w:rsidP="004F3E2E">
            <w:pPr>
              <w:spacing w:line="360" w:lineRule="auto"/>
              <w:rPr>
                <w:rFonts w:asciiTheme="minorHAnsi" w:hAnsiTheme="minorHAnsi"/>
                <w:szCs w:val="22"/>
              </w:rPr>
            </w:pPr>
            <w:r w:rsidRPr="002F62A1">
              <w:rPr>
                <w:rFonts w:asciiTheme="minorHAnsi" w:hAnsiTheme="minorHAnsi"/>
                <w:szCs w:val="22"/>
              </w:rPr>
              <w:t>5.0 ml</w:t>
            </w:r>
          </w:p>
        </w:tc>
      </w:tr>
      <w:tr w:rsidR="00BA2D6B" w:rsidRPr="00F23565" w14:paraId="11B8560D" w14:textId="77777777" w:rsidTr="00BA2D6B">
        <w:trPr>
          <w:gridBefore w:val="1"/>
          <w:wBefore w:w="284" w:type="dxa"/>
        </w:trPr>
        <w:tc>
          <w:tcPr>
            <w:tcW w:w="2835" w:type="dxa"/>
          </w:tcPr>
          <w:p w14:paraId="208C998A" w14:textId="77777777" w:rsidR="00BA2D6B" w:rsidRPr="00276E72" w:rsidRDefault="00BA2D6B" w:rsidP="004F3E2E">
            <w:pPr>
              <w:spacing w:line="360" w:lineRule="auto"/>
              <w:rPr>
                <w:b/>
                <w:sz w:val="24"/>
              </w:rPr>
            </w:pPr>
            <w:r w:rsidRPr="00276E72">
              <w:rPr>
                <w:b/>
                <w:sz w:val="24"/>
              </w:rPr>
              <w:t>Container</w:t>
            </w:r>
          </w:p>
        </w:tc>
        <w:tc>
          <w:tcPr>
            <w:tcW w:w="283" w:type="dxa"/>
            <w:shd w:val="clear" w:color="auto" w:fill="auto"/>
          </w:tcPr>
          <w:p w14:paraId="4CEAFA0E" w14:textId="77777777" w:rsidR="00BA2D6B" w:rsidRDefault="00BA2D6B" w:rsidP="004F3E2E">
            <w:pPr>
              <w:spacing w:line="360" w:lineRule="auto"/>
            </w:pPr>
          </w:p>
        </w:tc>
        <w:tc>
          <w:tcPr>
            <w:tcW w:w="7229" w:type="dxa"/>
          </w:tcPr>
          <w:p w14:paraId="6D87CA64" w14:textId="77777777" w:rsidR="002F62A1" w:rsidRPr="002F62A1" w:rsidRDefault="002F62A1" w:rsidP="002F62A1">
            <w:pPr>
              <w:tabs>
                <w:tab w:val="left" w:pos="3705"/>
              </w:tabs>
              <w:autoSpaceDE w:val="0"/>
              <w:autoSpaceDN w:val="0"/>
              <w:adjustRightInd w:val="0"/>
              <w:spacing w:before="100" w:after="100" w:line="240" w:lineRule="auto"/>
              <w:rPr>
                <w:rFonts w:asciiTheme="minorHAnsi" w:hAnsiTheme="minorHAnsi"/>
                <w:szCs w:val="22"/>
                <w:lang w:eastAsia="en-GB"/>
              </w:rPr>
            </w:pPr>
            <w:r>
              <w:rPr>
                <w:rFonts w:asciiTheme="minorHAnsi" w:hAnsiTheme="minorHAnsi"/>
                <w:noProof/>
                <w:szCs w:val="22"/>
                <w:lang w:eastAsia="en-GB"/>
              </w:rPr>
              <w:drawing>
                <wp:inline distT="0" distB="0" distL="0" distR="0" wp14:anchorId="3CFAD7F9" wp14:editId="7E3C4EBC">
                  <wp:extent cx="2171700" cy="6751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ine_contai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071" cy="706656"/>
                          </a:xfrm>
                          <a:prstGeom prst="rect">
                            <a:avLst/>
                          </a:prstGeom>
                        </pic:spPr>
                      </pic:pic>
                    </a:graphicData>
                  </a:graphic>
                </wp:inline>
              </w:drawing>
            </w:r>
            <w:r>
              <w:rPr>
                <w:rFonts w:asciiTheme="minorHAnsi" w:hAnsiTheme="minorHAnsi"/>
                <w:szCs w:val="22"/>
                <w:lang w:eastAsia="en-GB"/>
              </w:rPr>
              <w:t xml:space="preserve">  </w:t>
            </w:r>
            <w:r w:rsidRPr="002F62A1">
              <w:rPr>
                <w:rFonts w:asciiTheme="minorHAnsi" w:hAnsiTheme="minorHAnsi"/>
                <w:szCs w:val="22"/>
                <w:lang w:eastAsia="en-GB"/>
              </w:rPr>
              <w:t>White Capped Universal</w:t>
            </w:r>
          </w:p>
          <w:p w14:paraId="0D6C6055" w14:textId="77777777" w:rsidR="00386207" w:rsidRPr="00E80B2D" w:rsidRDefault="002F62A1" w:rsidP="003559A8">
            <w:pPr>
              <w:tabs>
                <w:tab w:val="left" w:pos="3705"/>
              </w:tabs>
              <w:autoSpaceDE w:val="0"/>
              <w:autoSpaceDN w:val="0"/>
              <w:adjustRightInd w:val="0"/>
              <w:spacing w:before="100" w:after="100" w:line="240" w:lineRule="auto"/>
              <w:rPr>
                <w:rFonts w:asciiTheme="minorHAnsi" w:hAnsiTheme="minorHAnsi"/>
                <w:b/>
                <w:szCs w:val="22"/>
                <w:lang w:eastAsia="en-GB"/>
              </w:rPr>
            </w:pPr>
            <w:r w:rsidRPr="00E80B2D">
              <w:rPr>
                <w:rFonts w:asciiTheme="minorHAnsi" w:hAnsiTheme="minorHAnsi"/>
                <w:b/>
                <w:color w:val="FF0000"/>
                <w:szCs w:val="22"/>
                <w:lang w:eastAsia="en-GB"/>
              </w:rPr>
              <w:t>Sample should be transported to laboratory immediately.</w:t>
            </w:r>
            <w:r w:rsidR="00E80B2D">
              <w:rPr>
                <w:rFonts w:asciiTheme="minorHAnsi" w:hAnsiTheme="minorHAnsi"/>
                <w:b/>
                <w:color w:val="FF0000"/>
                <w:szCs w:val="22"/>
                <w:lang w:eastAsia="en-GB"/>
              </w:rPr>
              <w:t xml:space="preserve"> Samples that are received in the laboratory &gt;1 hour post collection may not be suitable for analysis.</w:t>
            </w:r>
          </w:p>
        </w:tc>
      </w:tr>
      <w:tr w:rsidR="00BA2D6B" w:rsidRPr="00F23565" w14:paraId="78C27608" w14:textId="77777777" w:rsidTr="00BA2D6B">
        <w:tc>
          <w:tcPr>
            <w:tcW w:w="3119" w:type="dxa"/>
            <w:gridSpan w:val="2"/>
            <w:shd w:val="clear" w:color="auto" w:fill="D9D9D9" w:themeFill="background1" w:themeFillShade="D9"/>
          </w:tcPr>
          <w:p w14:paraId="67C9FAE6" w14:textId="77777777" w:rsidR="00BA2D6B" w:rsidRPr="00276E72" w:rsidRDefault="00BA2D6B" w:rsidP="004F3E2E">
            <w:pPr>
              <w:spacing w:line="360" w:lineRule="auto"/>
              <w:rPr>
                <w:b/>
                <w:sz w:val="24"/>
              </w:rPr>
            </w:pPr>
            <w:r>
              <w:rPr>
                <w:b/>
                <w:sz w:val="24"/>
              </w:rPr>
              <w:t>Reference R</w:t>
            </w:r>
            <w:r w:rsidRPr="00276E72">
              <w:rPr>
                <w:b/>
                <w:sz w:val="24"/>
              </w:rPr>
              <w:t xml:space="preserve">ange </w:t>
            </w:r>
            <w:r>
              <w:rPr>
                <w:b/>
                <w:sz w:val="24"/>
              </w:rPr>
              <w:t>&amp;</w:t>
            </w:r>
            <w:r w:rsidRPr="00276E72">
              <w:rPr>
                <w:b/>
                <w:sz w:val="24"/>
              </w:rPr>
              <w:t xml:space="preserve"> Units</w:t>
            </w:r>
          </w:p>
        </w:tc>
        <w:tc>
          <w:tcPr>
            <w:tcW w:w="283" w:type="dxa"/>
            <w:shd w:val="clear" w:color="auto" w:fill="auto"/>
          </w:tcPr>
          <w:p w14:paraId="4AAB4303" w14:textId="77777777" w:rsidR="00BA2D6B" w:rsidRDefault="00BA2D6B" w:rsidP="004F3E2E">
            <w:pPr>
              <w:spacing w:line="360" w:lineRule="auto"/>
            </w:pPr>
          </w:p>
        </w:tc>
        <w:tc>
          <w:tcPr>
            <w:tcW w:w="7229" w:type="dxa"/>
            <w:shd w:val="clear" w:color="auto" w:fill="D9D9D9" w:themeFill="background1" w:themeFillShade="D9"/>
          </w:tcPr>
          <w:p w14:paraId="2736B4CA" w14:textId="77777777" w:rsidR="00BA2D6B" w:rsidRPr="0060596E" w:rsidRDefault="004848A6" w:rsidP="00EE61A4">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Comprehensive interpretation provided by the reference laboratory</w:t>
            </w:r>
            <w:r w:rsidR="003C1877">
              <w:rPr>
                <w:rFonts w:asciiTheme="minorHAnsi" w:hAnsiTheme="minorHAnsi"/>
                <w:szCs w:val="22"/>
                <w:lang w:eastAsia="en-GB"/>
              </w:rPr>
              <w:t>.</w:t>
            </w:r>
          </w:p>
        </w:tc>
      </w:tr>
      <w:tr w:rsidR="00BA2D6B" w:rsidRPr="00F23565" w14:paraId="65979025" w14:textId="77777777" w:rsidTr="00BA2D6B">
        <w:tc>
          <w:tcPr>
            <w:tcW w:w="3119" w:type="dxa"/>
            <w:gridSpan w:val="2"/>
          </w:tcPr>
          <w:p w14:paraId="57370A24" w14:textId="77777777" w:rsidR="00BA2D6B" w:rsidRPr="00276E72" w:rsidRDefault="00BA2D6B" w:rsidP="004F3E2E">
            <w:pPr>
              <w:spacing w:line="360" w:lineRule="auto"/>
              <w:rPr>
                <w:b/>
                <w:sz w:val="24"/>
              </w:rPr>
            </w:pPr>
            <w:r w:rsidRPr="00276E72">
              <w:rPr>
                <w:b/>
                <w:sz w:val="24"/>
              </w:rPr>
              <w:t>Interferences</w:t>
            </w:r>
          </w:p>
        </w:tc>
        <w:tc>
          <w:tcPr>
            <w:tcW w:w="283" w:type="dxa"/>
            <w:shd w:val="clear" w:color="auto" w:fill="auto"/>
          </w:tcPr>
          <w:p w14:paraId="758CDD05" w14:textId="77777777" w:rsidR="00BA2D6B" w:rsidRDefault="00BA2D6B" w:rsidP="004F3E2E">
            <w:pPr>
              <w:spacing w:line="360" w:lineRule="auto"/>
            </w:pPr>
          </w:p>
        </w:tc>
        <w:tc>
          <w:tcPr>
            <w:tcW w:w="7229" w:type="dxa"/>
          </w:tcPr>
          <w:p w14:paraId="3807EFC5" w14:textId="77777777" w:rsidR="00BB16B2" w:rsidRDefault="00BB16B2" w:rsidP="002F62A1">
            <w:pPr>
              <w:pStyle w:val="NoSpacing"/>
            </w:pPr>
            <w:r w:rsidRPr="00BB16B2">
              <w:t xml:space="preserve">Acidified samples are </w:t>
            </w:r>
            <w:r w:rsidRPr="00BB16B2">
              <w:rPr>
                <w:b/>
              </w:rPr>
              <w:t xml:space="preserve">not </w:t>
            </w:r>
            <w:r w:rsidRPr="00BB16B2">
              <w:t>acceptable</w:t>
            </w:r>
            <w:r>
              <w:t>.</w:t>
            </w:r>
          </w:p>
          <w:p w14:paraId="23862239" w14:textId="77777777" w:rsidR="004B549B" w:rsidRDefault="004B549B" w:rsidP="004B549B">
            <w:pPr>
              <w:autoSpaceDE w:val="0"/>
              <w:autoSpaceDN w:val="0"/>
              <w:adjustRightInd w:val="0"/>
              <w:spacing w:line="240" w:lineRule="auto"/>
              <w:rPr>
                <w:rFonts w:cs="Calibri"/>
                <w:szCs w:val="22"/>
                <w:lang w:eastAsia="en-GB"/>
              </w:rPr>
            </w:pPr>
            <w:r>
              <w:rPr>
                <w:rFonts w:cs="Calibri"/>
                <w:szCs w:val="22"/>
                <w:lang w:eastAsia="en-GB"/>
              </w:rPr>
              <w:t>Certain drugs (e.g. Ampicillin) may interfere with screening. Avoid faecal or</w:t>
            </w:r>
          </w:p>
          <w:p w14:paraId="6BDBAD63" w14:textId="77777777" w:rsidR="004B549B" w:rsidRPr="0060596E" w:rsidRDefault="004B549B" w:rsidP="004B549B">
            <w:pPr>
              <w:pStyle w:val="NoSpacing"/>
            </w:pPr>
            <w:r>
              <w:rPr>
                <w:rFonts w:cs="Calibri"/>
                <w:szCs w:val="22"/>
                <w:lang w:eastAsia="en-GB"/>
              </w:rPr>
              <w:t>bacterial contamination.</w:t>
            </w:r>
          </w:p>
        </w:tc>
      </w:tr>
      <w:tr w:rsidR="00BA2D6B" w:rsidRPr="00F23565" w14:paraId="3E59D037" w14:textId="77777777" w:rsidTr="00BA2D6B">
        <w:tc>
          <w:tcPr>
            <w:tcW w:w="3119" w:type="dxa"/>
            <w:gridSpan w:val="2"/>
            <w:shd w:val="clear" w:color="auto" w:fill="D9D9D9" w:themeFill="background1" w:themeFillShade="D9"/>
          </w:tcPr>
          <w:p w14:paraId="0281CBEA" w14:textId="77777777" w:rsidR="00BA2D6B" w:rsidRDefault="00BA2D6B" w:rsidP="004F3E2E">
            <w:pPr>
              <w:spacing w:line="360" w:lineRule="auto"/>
              <w:rPr>
                <w:b/>
                <w:sz w:val="24"/>
              </w:rPr>
            </w:pPr>
            <w:r w:rsidRPr="00276E72">
              <w:rPr>
                <w:b/>
                <w:sz w:val="24"/>
              </w:rPr>
              <w:t xml:space="preserve">Interpretation &amp; Clinical </w:t>
            </w:r>
          </w:p>
          <w:p w14:paraId="487875C6" w14:textId="77777777" w:rsidR="00BA2D6B" w:rsidRPr="00276E72" w:rsidRDefault="00BA2D6B" w:rsidP="004F3E2E">
            <w:pPr>
              <w:spacing w:line="360" w:lineRule="auto"/>
              <w:rPr>
                <w:b/>
                <w:sz w:val="24"/>
              </w:rPr>
            </w:pPr>
            <w:r w:rsidRPr="00276E72">
              <w:rPr>
                <w:b/>
                <w:sz w:val="24"/>
              </w:rPr>
              <w:t>Decision Value (if applicable)</w:t>
            </w:r>
          </w:p>
        </w:tc>
        <w:tc>
          <w:tcPr>
            <w:tcW w:w="283" w:type="dxa"/>
            <w:shd w:val="clear" w:color="auto" w:fill="auto"/>
          </w:tcPr>
          <w:p w14:paraId="504AF563" w14:textId="77777777" w:rsidR="00BA2D6B" w:rsidRDefault="00BA2D6B" w:rsidP="004F3E2E">
            <w:pPr>
              <w:spacing w:line="360" w:lineRule="auto"/>
            </w:pPr>
          </w:p>
        </w:tc>
        <w:tc>
          <w:tcPr>
            <w:tcW w:w="7229" w:type="dxa"/>
            <w:shd w:val="clear" w:color="auto" w:fill="D9D9D9" w:themeFill="background1" w:themeFillShade="D9"/>
          </w:tcPr>
          <w:p w14:paraId="66B4BA3E" w14:textId="77777777" w:rsidR="00BA2D6B" w:rsidRPr="0060596E" w:rsidRDefault="004848A6" w:rsidP="00EE61A4">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Comprehensive interpretation</w:t>
            </w:r>
            <w:r w:rsidR="003C1877">
              <w:rPr>
                <w:rFonts w:asciiTheme="minorHAnsi" w:hAnsiTheme="minorHAnsi"/>
                <w:szCs w:val="22"/>
                <w:lang w:eastAsia="en-GB"/>
              </w:rPr>
              <w:t xml:space="preserve"> and advice</w:t>
            </w:r>
            <w:r>
              <w:rPr>
                <w:rFonts w:asciiTheme="minorHAnsi" w:hAnsiTheme="minorHAnsi"/>
                <w:szCs w:val="22"/>
                <w:lang w:eastAsia="en-GB"/>
              </w:rPr>
              <w:t xml:space="preserve"> provided by the reference laboratory</w:t>
            </w:r>
            <w:r w:rsidR="003C1877">
              <w:rPr>
                <w:rFonts w:asciiTheme="minorHAnsi" w:hAnsiTheme="minorHAnsi"/>
                <w:szCs w:val="22"/>
                <w:lang w:eastAsia="en-GB"/>
              </w:rPr>
              <w:t>.</w:t>
            </w:r>
          </w:p>
        </w:tc>
      </w:tr>
      <w:tr w:rsidR="00BA2D6B" w:rsidRPr="00F23565" w14:paraId="40D3D9EE" w14:textId="77777777" w:rsidTr="00BA2D6B">
        <w:tc>
          <w:tcPr>
            <w:tcW w:w="3119" w:type="dxa"/>
            <w:gridSpan w:val="2"/>
          </w:tcPr>
          <w:p w14:paraId="169592D8" w14:textId="77777777" w:rsidR="00BA2D6B" w:rsidRPr="00276E72" w:rsidRDefault="00BA2D6B" w:rsidP="004F3E2E">
            <w:pPr>
              <w:spacing w:line="360" w:lineRule="auto"/>
              <w:rPr>
                <w:b/>
                <w:sz w:val="24"/>
              </w:rPr>
            </w:pPr>
            <w:r w:rsidRPr="00276E72">
              <w:rPr>
                <w:b/>
                <w:sz w:val="24"/>
              </w:rPr>
              <w:lastRenderedPageBreak/>
              <w:t>References</w:t>
            </w:r>
          </w:p>
        </w:tc>
        <w:tc>
          <w:tcPr>
            <w:tcW w:w="283" w:type="dxa"/>
            <w:shd w:val="clear" w:color="auto" w:fill="auto"/>
          </w:tcPr>
          <w:p w14:paraId="032F192D" w14:textId="77777777" w:rsidR="00BA2D6B" w:rsidRDefault="00BA2D6B" w:rsidP="004F3E2E">
            <w:pPr>
              <w:spacing w:line="360" w:lineRule="auto"/>
            </w:pPr>
          </w:p>
        </w:tc>
        <w:tc>
          <w:tcPr>
            <w:tcW w:w="7229" w:type="dxa"/>
          </w:tcPr>
          <w:p w14:paraId="40E5895F" w14:textId="77777777" w:rsidR="00BA2D6B" w:rsidRPr="0060596E" w:rsidRDefault="00000000" w:rsidP="004F3E2E">
            <w:pPr>
              <w:spacing w:line="360" w:lineRule="auto"/>
              <w:rPr>
                <w:rFonts w:asciiTheme="minorHAnsi" w:hAnsiTheme="minorHAnsi"/>
                <w:szCs w:val="22"/>
              </w:rPr>
            </w:pPr>
            <w:hyperlink r:id="rId8" w:history="1">
              <w:r w:rsidR="004B549B" w:rsidRPr="00627275">
                <w:rPr>
                  <w:rStyle w:val="Hyperlink"/>
                  <w:rFonts w:asciiTheme="minorHAnsi" w:hAnsiTheme="minorHAnsi"/>
                  <w:szCs w:val="22"/>
                </w:rPr>
                <w:t>http://www.labs.gosh.nhs.uk/laboratory-services/chemical-pathology/tests/urine-amino-acids?msclkid=b0aec0aeb0f011ec8e453c8c79994ae1</w:t>
              </w:r>
            </w:hyperlink>
            <w:r w:rsidR="004B549B">
              <w:rPr>
                <w:rFonts w:asciiTheme="minorHAnsi" w:hAnsiTheme="minorHAnsi"/>
                <w:szCs w:val="22"/>
              </w:rPr>
              <w:t xml:space="preserve"> </w:t>
            </w:r>
          </w:p>
        </w:tc>
      </w:tr>
      <w:tr w:rsidR="00BA2D6B" w:rsidRPr="00F23565" w14:paraId="495FCB6A" w14:textId="77777777" w:rsidTr="00BA2D6B">
        <w:tc>
          <w:tcPr>
            <w:tcW w:w="3119" w:type="dxa"/>
            <w:gridSpan w:val="2"/>
            <w:shd w:val="clear" w:color="auto" w:fill="D9D9D9" w:themeFill="background1" w:themeFillShade="D9"/>
          </w:tcPr>
          <w:p w14:paraId="1A5C56D4" w14:textId="77777777" w:rsidR="00BA2D6B" w:rsidRPr="00276E72" w:rsidRDefault="00BA2D6B" w:rsidP="004F3E2E">
            <w:pPr>
              <w:spacing w:line="360" w:lineRule="auto"/>
              <w:rPr>
                <w:b/>
                <w:sz w:val="24"/>
              </w:rPr>
            </w:pPr>
            <w:r>
              <w:rPr>
                <w:b/>
                <w:sz w:val="24"/>
              </w:rPr>
              <w:t>Test code</w:t>
            </w:r>
          </w:p>
        </w:tc>
        <w:tc>
          <w:tcPr>
            <w:tcW w:w="283" w:type="dxa"/>
            <w:shd w:val="clear" w:color="auto" w:fill="auto"/>
          </w:tcPr>
          <w:p w14:paraId="637BD4E9" w14:textId="77777777" w:rsidR="00BA2D6B" w:rsidRDefault="00BA2D6B" w:rsidP="004F3E2E">
            <w:pPr>
              <w:spacing w:line="360" w:lineRule="auto"/>
            </w:pPr>
          </w:p>
        </w:tc>
        <w:tc>
          <w:tcPr>
            <w:tcW w:w="7229" w:type="dxa"/>
            <w:shd w:val="clear" w:color="auto" w:fill="D9D9D9" w:themeFill="background1" w:themeFillShade="D9"/>
          </w:tcPr>
          <w:p w14:paraId="20A3DCF1" w14:textId="77777777" w:rsidR="00BA2D6B" w:rsidRPr="0060596E" w:rsidRDefault="004848A6" w:rsidP="004F3E2E">
            <w:pPr>
              <w:spacing w:line="360" w:lineRule="auto"/>
              <w:rPr>
                <w:rFonts w:asciiTheme="minorHAnsi" w:hAnsiTheme="minorHAnsi"/>
                <w:szCs w:val="22"/>
              </w:rPr>
            </w:pPr>
            <w:r>
              <w:rPr>
                <w:rFonts w:asciiTheme="minorHAnsi" w:hAnsiTheme="minorHAnsi"/>
                <w:szCs w:val="22"/>
              </w:rPr>
              <w:t>U</w:t>
            </w:r>
            <w:r w:rsidR="004B549B">
              <w:rPr>
                <w:rFonts w:asciiTheme="minorHAnsi" w:hAnsiTheme="minorHAnsi"/>
                <w:szCs w:val="22"/>
              </w:rPr>
              <w:t>AA</w:t>
            </w:r>
          </w:p>
        </w:tc>
      </w:tr>
      <w:tr w:rsidR="00EE61A4" w:rsidRPr="00F23565" w14:paraId="518FD922" w14:textId="77777777" w:rsidTr="00EE61A4">
        <w:tc>
          <w:tcPr>
            <w:tcW w:w="3119" w:type="dxa"/>
            <w:gridSpan w:val="2"/>
            <w:shd w:val="clear" w:color="auto" w:fill="auto"/>
          </w:tcPr>
          <w:p w14:paraId="7B0B6E62" w14:textId="77777777" w:rsidR="00EE61A4" w:rsidRDefault="00EE61A4" w:rsidP="004F3E2E">
            <w:pPr>
              <w:spacing w:line="360" w:lineRule="auto"/>
              <w:rPr>
                <w:b/>
                <w:sz w:val="24"/>
              </w:rPr>
            </w:pPr>
            <w:r>
              <w:rPr>
                <w:b/>
                <w:sz w:val="24"/>
              </w:rPr>
              <w:t>Lab Handling</w:t>
            </w:r>
          </w:p>
        </w:tc>
        <w:tc>
          <w:tcPr>
            <w:tcW w:w="283" w:type="dxa"/>
            <w:shd w:val="clear" w:color="auto" w:fill="auto"/>
          </w:tcPr>
          <w:p w14:paraId="00968D62" w14:textId="77777777" w:rsidR="00EE61A4" w:rsidRDefault="00EE61A4" w:rsidP="004F3E2E">
            <w:pPr>
              <w:spacing w:line="360" w:lineRule="auto"/>
            </w:pPr>
          </w:p>
        </w:tc>
        <w:tc>
          <w:tcPr>
            <w:tcW w:w="7229" w:type="dxa"/>
            <w:shd w:val="clear" w:color="auto" w:fill="auto"/>
          </w:tcPr>
          <w:p w14:paraId="0DEFC6C7" w14:textId="77777777" w:rsidR="00EE61A4" w:rsidRDefault="002F62A1" w:rsidP="00386207">
            <w:pPr>
              <w:pStyle w:val="NoSpacing"/>
              <w:rPr>
                <w:rFonts w:asciiTheme="minorHAnsi" w:hAnsiTheme="minorHAnsi"/>
                <w:szCs w:val="22"/>
              </w:rPr>
            </w:pPr>
            <w:r w:rsidRPr="002F62A1">
              <w:rPr>
                <w:rFonts w:asciiTheme="minorHAnsi" w:hAnsiTheme="minorHAnsi"/>
                <w:szCs w:val="22"/>
              </w:rPr>
              <w:t>Freeze primary sample at -20°C</w:t>
            </w:r>
            <w:r w:rsidR="004848A6">
              <w:rPr>
                <w:rFonts w:asciiTheme="minorHAnsi" w:hAnsiTheme="minorHAnsi"/>
                <w:szCs w:val="22"/>
              </w:rPr>
              <w:t xml:space="preserve"> immediately. If a sample is received at over one hour since collection, still freeze the sample and enter the test code but also record on the form the time at which the sample was received. This information can then be passed on to the referral laboratory. Samples are sent at -20C by courier to Great Ormond Street Camelia Botnar Labs. </w:t>
            </w:r>
          </w:p>
          <w:p w14:paraId="7B520CA6" w14:textId="77777777" w:rsidR="00886E1B" w:rsidRDefault="00886E1B" w:rsidP="00386207">
            <w:pPr>
              <w:pStyle w:val="NoSpacing"/>
              <w:rPr>
                <w:rFonts w:asciiTheme="minorHAnsi" w:hAnsiTheme="minorHAnsi"/>
                <w:szCs w:val="22"/>
              </w:rPr>
            </w:pPr>
          </w:p>
          <w:p w14:paraId="6DD80219" w14:textId="77777777" w:rsidR="00886E1B" w:rsidRDefault="00886E1B" w:rsidP="00386207">
            <w:pPr>
              <w:pStyle w:val="NoSpacing"/>
              <w:rPr>
                <w:rFonts w:asciiTheme="minorHAnsi" w:hAnsiTheme="minorHAnsi"/>
                <w:szCs w:val="22"/>
              </w:rPr>
            </w:pPr>
          </w:p>
          <w:p w14:paraId="1EC0C38D" w14:textId="77777777" w:rsidR="00886E1B" w:rsidRDefault="00886E1B" w:rsidP="00386207">
            <w:pPr>
              <w:pStyle w:val="NoSpacing"/>
              <w:rPr>
                <w:rFonts w:asciiTheme="minorHAnsi" w:hAnsiTheme="minorHAnsi"/>
                <w:szCs w:val="22"/>
              </w:rPr>
            </w:pPr>
          </w:p>
          <w:p w14:paraId="73052C79" w14:textId="77777777" w:rsidR="00886E1B" w:rsidRDefault="00886E1B" w:rsidP="00386207">
            <w:pPr>
              <w:pStyle w:val="NoSpacing"/>
              <w:rPr>
                <w:rFonts w:asciiTheme="minorHAnsi" w:hAnsiTheme="minorHAnsi"/>
                <w:szCs w:val="22"/>
              </w:rPr>
            </w:pPr>
          </w:p>
          <w:p w14:paraId="2ABA8BBF" w14:textId="02C1EE42" w:rsidR="00886E1B" w:rsidRPr="0060596E" w:rsidRDefault="00886E1B" w:rsidP="00386207">
            <w:pPr>
              <w:pStyle w:val="NoSpacing"/>
              <w:rPr>
                <w:rFonts w:asciiTheme="minorHAnsi" w:hAnsiTheme="minorHAnsi"/>
                <w:szCs w:val="22"/>
              </w:rPr>
            </w:pPr>
            <w:r w:rsidRPr="002014A9">
              <w:rPr>
                <w:noProof/>
                <w:lang w:val="en-US"/>
              </w:rPr>
              <w:drawing>
                <wp:inline distT="0" distB="0" distL="0" distR="0" wp14:anchorId="64DE13AB" wp14:editId="36A58215">
                  <wp:extent cx="666854" cy="1219200"/>
                  <wp:effectExtent l="0" t="0" r="0" b="0"/>
                  <wp:docPr id="320517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17950" name=""/>
                          <pic:cNvPicPr/>
                        </pic:nvPicPr>
                        <pic:blipFill>
                          <a:blip r:embed="rId9"/>
                          <a:stretch>
                            <a:fillRect/>
                          </a:stretch>
                        </pic:blipFill>
                        <pic:spPr>
                          <a:xfrm>
                            <a:off x="0" y="0"/>
                            <a:ext cx="677577" cy="1238804"/>
                          </a:xfrm>
                          <a:prstGeom prst="rect">
                            <a:avLst/>
                          </a:prstGeom>
                        </pic:spPr>
                      </pic:pic>
                    </a:graphicData>
                  </a:graphic>
                </wp:inline>
              </w:drawing>
            </w:r>
          </w:p>
        </w:tc>
      </w:tr>
    </w:tbl>
    <w:p w14:paraId="1689BBEB" w14:textId="77777777" w:rsidR="000319DA" w:rsidRDefault="000319DA" w:rsidP="003559A8">
      <w:pPr>
        <w:spacing w:line="360" w:lineRule="auto"/>
      </w:pPr>
    </w:p>
    <w:sectPr w:rsidR="000319DA" w:rsidSect="000319DA">
      <w:headerReference w:type="default" r:id="rId10"/>
      <w:footerReference w:type="default" r:id="rId11"/>
      <w:pgSz w:w="11907" w:h="16840" w:code="9"/>
      <w:pgMar w:top="1560" w:right="856" w:bottom="709" w:left="754" w:header="284" w:footer="299"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58D8" w14:textId="77777777" w:rsidR="00546378" w:rsidRDefault="00546378">
      <w:r>
        <w:separator/>
      </w:r>
    </w:p>
    <w:p w14:paraId="632153BE" w14:textId="77777777" w:rsidR="00546378" w:rsidRDefault="00546378"/>
    <w:p w14:paraId="109681CF" w14:textId="77777777" w:rsidR="00546378" w:rsidRDefault="00546378"/>
    <w:p w14:paraId="78FE973F" w14:textId="77777777" w:rsidR="00546378" w:rsidRDefault="00546378"/>
    <w:p w14:paraId="59FD3CCD" w14:textId="77777777" w:rsidR="00546378" w:rsidRDefault="00546378"/>
    <w:p w14:paraId="63127A7C" w14:textId="77777777" w:rsidR="00546378" w:rsidRDefault="00546378"/>
    <w:p w14:paraId="56F1C41B" w14:textId="77777777" w:rsidR="00546378" w:rsidRDefault="00546378"/>
    <w:p w14:paraId="13FD3094" w14:textId="77777777" w:rsidR="00546378" w:rsidRDefault="00546378"/>
    <w:p w14:paraId="733D5F66" w14:textId="77777777" w:rsidR="00546378" w:rsidRDefault="00546378"/>
  </w:endnote>
  <w:endnote w:type="continuationSeparator" w:id="0">
    <w:p w14:paraId="533249F7" w14:textId="77777777" w:rsidR="00546378" w:rsidRDefault="00546378">
      <w:r>
        <w:continuationSeparator/>
      </w:r>
    </w:p>
    <w:p w14:paraId="4B4C5801" w14:textId="77777777" w:rsidR="00546378" w:rsidRDefault="00546378"/>
    <w:p w14:paraId="4AD8FEF2" w14:textId="77777777" w:rsidR="00546378" w:rsidRDefault="00546378"/>
    <w:p w14:paraId="01B968ED" w14:textId="77777777" w:rsidR="00546378" w:rsidRDefault="00546378"/>
    <w:p w14:paraId="40FB0BDD" w14:textId="77777777" w:rsidR="00546378" w:rsidRDefault="00546378"/>
    <w:p w14:paraId="7A02E6DD" w14:textId="77777777" w:rsidR="00546378" w:rsidRDefault="00546378"/>
    <w:p w14:paraId="5C5FAB5D" w14:textId="77777777" w:rsidR="00546378" w:rsidRDefault="00546378"/>
    <w:p w14:paraId="5D3DEB05" w14:textId="77777777" w:rsidR="00546378" w:rsidRDefault="00546378"/>
    <w:p w14:paraId="2B6E0FA9" w14:textId="77777777" w:rsidR="00546378" w:rsidRDefault="00546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50F" w14:textId="77777777" w:rsidR="00BA2D6B" w:rsidRPr="007825B1" w:rsidRDefault="00BA2D6B">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2"/>
        <w:szCs w:val="10"/>
      </w:rPr>
    </w:pPr>
  </w:p>
  <w:p w14:paraId="49AE7CF2" w14:textId="581A5B5A" w:rsidR="00BA2D6B" w:rsidRPr="00276E72" w:rsidRDefault="004B549B">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16"/>
        <w:lang w:val="en-US"/>
      </w:rPr>
    </w:pPr>
    <w:r>
      <w:rPr>
        <w:b/>
        <w:bCs/>
        <w:sz w:val="16"/>
      </w:rPr>
      <w:t>Version 1.</w:t>
    </w:r>
    <w:r w:rsidR="00886E1B">
      <w:rPr>
        <w:b/>
        <w:bCs/>
        <w:sz w:val="16"/>
      </w:rPr>
      <w:t>4</w:t>
    </w:r>
    <w:r w:rsidR="00BA2D6B" w:rsidRPr="00276E72">
      <w:rPr>
        <w:b/>
        <w:bCs/>
        <w:sz w:val="16"/>
      </w:rPr>
      <w:t xml:space="preserve"> / </w:t>
    </w:r>
    <w:r w:rsidR="00886E1B">
      <w:rPr>
        <w:b/>
        <w:bCs/>
        <w:sz w:val="16"/>
      </w:rPr>
      <w:t>July</w:t>
    </w:r>
    <w:r w:rsidR="003559A8">
      <w:rPr>
        <w:b/>
        <w:bCs/>
        <w:sz w:val="16"/>
      </w:rPr>
      <w:t xml:space="preserve"> </w:t>
    </w:r>
    <w:r>
      <w:rPr>
        <w:b/>
        <w:bCs/>
        <w:sz w:val="16"/>
      </w:rPr>
      <w:t>202</w:t>
    </w:r>
    <w:r w:rsidR="00886E1B">
      <w:rPr>
        <w:b/>
        <w:bCs/>
        <w:sz w:val="16"/>
      </w:rPr>
      <w:t>3</w:t>
    </w:r>
    <w:r w:rsidR="00BA2D6B" w:rsidRPr="00276E72">
      <w:rPr>
        <w:b/>
        <w:bCs/>
        <w:sz w:val="16"/>
      </w:rPr>
      <w:ptab w:relativeTo="margin" w:alignment="center" w:leader="none"/>
    </w:r>
    <w:r w:rsidR="00BA2D6B" w:rsidRPr="00276E72">
      <w:rPr>
        <w:b/>
        <w:bCs/>
        <w:sz w:val="16"/>
      </w:rPr>
      <w:t xml:space="preserve">Approved by: </w:t>
    </w:r>
    <w:r w:rsidR="002F62A1">
      <w:rPr>
        <w:b/>
        <w:bCs/>
        <w:sz w:val="16"/>
      </w:rPr>
      <w:t>Consultant Biochemist</w:t>
    </w:r>
    <w:r w:rsidR="00BA2D6B" w:rsidRPr="00276E72">
      <w:rPr>
        <w:b/>
        <w:bCs/>
        <w:sz w:val="16"/>
      </w:rPr>
      <w:tab/>
    </w:r>
    <w:r w:rsidR="00BA2D6B" w:rsidRPr="00276E72">
      <w:rPr>
        <w:b/>
        <w:bCs/>
        <w:sz w:val="16"/>
        <w:lang w:val="en-US"/>
      </w:rPr>
      <w:t xml:space="preserve">Page </w:t>
    </w:r>
    <w:r w:rsidR="00BA2D6B" w:rsidRPr="00276E72">
      <w:rPr>
        <w:b/>
        <w:bCs/>
        <w:sz w:val="16"/>
        <w:lang w:val="en-US"/>
      </w:rPr>
      <w:fldChar w:fldCharType="begin"/>
    </w:r>
    <w:r w:rsidR="00BA2D6B" w:rsidRPr="00276E72">
      <w:rPr>
        <w:b/>
        <w:bCs/>
        <w:sz w:val="16"/>
        <w:lang w:val="en-US"/>
      </w:rPr>
      <w:instrText xml:space="preserve"> PAGE </w:instrText>
    </w:r>
    <w:r w:rsidR="00BA2D6B" w:rsidRPr="00276E72">
      <w:rPr>
        <w:b/>
        <w:bCs/>
        <w:sz w:val="16"/>
        <w:lang w:val="en-US"/>
      </w:rPr>
      <w:fldChar w:fldCharType="separate"/>
    </w:r>
    <w:r w:rsidR="004256CD">
      <w:rPr>
        <w:b/>
        <w:bCs/>
        <w:noProof/>
        <w:sz w:val="16"/>
        <w:lang w:val="en-US"/>
      </w:rPr>
      <w:t>2</w:t>
    </w:r>
    <w:r w:rsidR="00BA2D6B" w:rsidRPr="00276E72">
      <w:rPr>
        <w:b/>
        <w:bCs/>
        <w:sz w:val="16"/>
        <w:lang w:val="en-US"/>
      </w:rPr>
      <w:fldChar w:fldCharType="end"/>
    </w:r>
    <w:r w:rsidR="00BA2D6B" w:rsidRPr="00276E72">
      <w:rPr>
        <w:b/>
        <w:bCs/>
        <w:sz w:val="16"/>
        <w:lang w:val="en-US"/>
      </w:rPr>
      <w:t xml:space="preserve"> of </w:t>
    </w:r>
    <w:r w:rsidR="00BA2D6B" w:rsidRPr="00276E72">
      <w:rPr>
        <w:b/>
        <w:bCs/>
        <w:sz w:val="16"/>
        <w:lang w:val="en-US"/>
      </w:rPr>
      <w:fldChar w:fldCharType="begin"/>
    </w:r>
    <w:r w:rsidR="00BA2D6B" w:rsidRPr="00276E72">
      <w:rPr>
        <w:b/>
        <w:bCs/>
        <w:sz w:val="16"/>
        <w:lang w:val="en-US"/>
      </w:rPr>
      <w:instrText xml:space="preserve"> NUMPAGES </w:instrText>
    </w:r>
    <w:r w:rsidR="00BA2D6B" w:rsidRPr="00276E72">
      <w:rPr>
        <w:b/>
        <w:bCs/>
        <w:sz w:val="16"/>
        <w:lang w:val="en-US"/>
      </w:rPr>
      <w:fldChar w:fldCharType="separate"/>
    </w:r>
    <w:r w:rsidR="004256CD">
      <w:rPr>
        <w:b/>
        <w:bCs/>
        <w:noProof/>
        <w:sz w:val="16"/>
        <w:lang w:val="en-US"/>
      </w:rPr>
      <w:t>2</w:t>
    </w:r>
    <w:r w:rsidR="00BA2D6B" w:rsidRPr="00276E72">
      <w:rPr>
        <w:b/>
        <w:b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A5C6" w14:textId="77777777" w:rsidR="00546378" w:rsidRDefault="00546378">
      <w:r>
        <w:separator/>
      </w:r>
    </w:p>
    <w:p w14:paraId="7BD67797" w14:textId="77777777" w:rsidR="00546378" w:rsidRDefault="00546378"/>
    <w:p w14:paraId="6DB6D3D0" w14:textId="77777777" w:rsidR="00546378" w:rsidRDefault="00546378"/>
    <w:p w14:paraId="19E8CB6D" w14:textId="77777777" w:rsidR="00546378" w:rsidRDefault="00546378"/>
    <w:p w14:paraId="12D0C7A0" w14:textId="77777777" w:rsidR="00546378" w:rsidRDefault="00546378"/>
    <w:p w14:paraId="6E871359" w14:textId="77777777" w:rsidR="00546378" w:rsidRDefault="00546378"/>
    <w:p w14:paraId="4EFE2F72" w14:textId="77777777" w:rsidR="00546378" w:rsidRDefault="00546378"/>
    <w:p w14:paraId="086F1AD5" w14:textId="77777777" w:rsidR="00546378" w:rsidRDefault="00546378"/>
    <w:p w14:paraId="29651EDE" w14:textId="77777777" w:rsidR="00546378" w:rsidRDefault="00546378"/>
  </w:footnote>
  <w:footnote w:type="continuationSeparator" w:id="0">
    <w:p w14:paraId="5B74D160" w14:textId="77777777" w:rsidR="00546378" w:rsidRDefault="00546378">
      <w:r>
        <w:continuationSeparator/>
      </w:r>
    </w:p>
    <w:p w14:paraId="2B913DCC" w14:textId="77777777" w:rsidR="00546378" w:rsidRDefault="00546378"/>
    <w:p w14:paraId="7DFC807D" w14:textId="77777777" w:rsidR="00546378" w:rsidRDefault="00546378"/>
    <w:p w14:paraId="5ADA4341" w14:textId="77777777" w:rsidR="00546378" w:rsidRDefault="00546378"/>
    <w:p w14:paraId="0252FA98" w14:textId="77777777" w:rsidR="00546378" w:rsidRDefault="00546378"/>
    <w:p w14:paraId="446454DD" w14:textId="77777777" w:rsidR="00546378" w:rsidRDefault="00546378"/>
    <w:p w14:paraId="58186C3E" w14:textId="77777777" w:rsidR="00546378" w:rsidRDefault="00546378"/>
    <w:p w14:paraId="3BFD5BB8" w14:textId="77777777" w:rsidR="00546378" w:rsidRDefault="00546378"/>
    <w:p w14:paraId="01B4697B" w14:textId="77777777" w:rsidR="00546378" w:rsidRDefault="00546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94EA" w14:textId="2EA2936B" w:rsidR="00BA2D6B" w:rsidRDefault="00BA2D6B">
    <w:pPr>
      <w:pStyle w:val="Header"/>
    </w:pPr>
  </w:p>
  <w:p w14:paraId="57DB984B" w14:textId="2DFE2D63" w:rsidR="00BA2D6B" w:rsidRDefault="00886E1B">
    <w:pPr>
      <w:pStyle w:val="Header"/>
    </w:pPr>
    <w:r>
      <w:rPr>
        <w:noProof/>
      </w:rPr>
      <w:drawing>
        <wp:anchor distT="0" distB="0" distL="114300" distR="114300" simplePos="0" relativeHeight="251658240" behindDoc="0" locked="0" layoutInCell="1" allowOverlap="1" wp14:anchorId="780149D7" wp14:editId="32EE368F">
          <wp:simplePos x="0" y="0"/>
          <wp:positionH relativeFrom="column">
            <wp:posOffset>5668010</wp:posOffset>
          </wp:positionH>
          <wp:positionV relativeFrom="paragraph">
            <wp:posOffset>74295</wp:posOffset>
          </wp:positionV>
          <wp:extent cx="845507"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07" cy="285750"/>
                  </a:xfrm>
                  <a:prstGeom prst="rect">
                    <a:avLst/>
                  </a:prstGeom>
                  <a:noFill/>
                </pic:spPr>
              </pic:pic>
            </a:graphicData>
          </a:graphic>
          <wp14:sizeRelH relativeFrom="page">
            <wp14:pctWidth>0</wp14:pctWidth>
          </wp14:sizeRelH>
          <wp14:sizeRelV relativeFrom="page">
            <wp14:pctHeight>0</wp14:pctHeight>
          </wp14:sizeRelV>
        </wp:anchor>
      </w:drawing>
    </w:r>
  </w:p>
  <w:p w14:paraId="1E6E536F" w14:textId="77777777" w:rsidR="00BA2D6B" w:rsidRDefault="00BA2D6B">
    <w:pPr>
      <w:pStyle w:val="Header"/>
    </w:pPr>
  </w:p>
  <w:p w14:paraId="0983892B" w14:textId="77777777" w:rsidR="00BA2D6B" w:rsidRDefault="00BA2D6B" w:rsidP="007825B1">
    <w:pPr>
      <w:pStyle w:val="Header"/>
      <w:jc w:val="right"/>
      <w:rPr>
        <w:sz w:val="14"/>
        <w:szCs w:val="14"/>
      </w:rPr>
    </w:pPr>
  </w:p>
  <w:p w14:paraId="1631E0CF" w14:textId="77777777" w:rsidR="00BA2D6B" w:rsidRPr="00276E72" w:rsidRDefault="004B549B" w:rsidP="007825B1">
    <w:pPr>
      <w:pStyle w:val="Header"/>
      <w:jc w:val="right"/>
      <w:rPr>
        <w:b/>
        <w:sz w:val="16"/>
        <w:szCs w:val="14"/>
      </w:rPr>
    </w:pPr>
    <w:r>
      <w:rPr>
        <w:b/>
        <w:sz w:val="16"/>
        <w:szCs w:val="14"/>
      </w:rPr>
      <w:t>PF-PTD-21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E0"/>
    <w:multiLevelType w:val="multilevel"/>
    <w:tmpl w:val="E3607A9A"/>
    <w:numStyleLink w:val="Numbering-2ndLevel"/>
  </w:abstractNum>
  <w:abstractNum w:abstractNumId="1" w15:restartNumberingAfterBreak="0">
    <w:nsid w:val="052101BA"/>
    <w:multiLevelType w:val="multilevel"/>
    <w:tmpl w:val="E3607A9A"/>
    <w:styleLink w:val="Numbering-2ndLevel"/>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728"/>
        </w:tabs>
        <w:ind w:left="1448" w:hanging="720"/>
      </w:pPr>
      <w:rPr>
        <w:rFonts w:ascii="Arial" w:hAnsi="Arial"/>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306C7"/>
    <w:multiLevelType w:val="multilevel"/>
    <w:tmpl w:val="CF488D3C"/>
    <w:styleLink w:val="Numbering-Main"/>
    <w:lvl w:ilvl="0">
      <w:start w:val="1"/>
      <w:numFmt w:val="decimal"/>
      <w:lvlText w:val="%1."/>
      <w:lvlJc w:val="left"/>
      <w:pPr>
        <w:tabs>
          <w:tab w:val="num" w:pos="360"/>
        </w:tabs>
        <w:ind w:left="360" w:hanging="360"/>
      </w:pPr>
      <w:rPr>
        <w:b/>
        <w:sz w:val="24"/>
      </w:rPr>
    </w:lvl>
    <w:lvl w:ilvl="1">
      <w:start w:val="2"/>
      <w:numFmt w:val="decimal"/>
      <w:isLgl/>
      <w:lvlText w:val="%1.%2"/>
      <w:lvlJc w:val="left"/>
      <w:pPr>
        <w:tabs>
          <w:tab w:val="num" w:pos="420"/>
        </w:tabs>
        <w:ind w:left="420" w:hanging="360"/>
      </w:pPr>
      <w:rPr>
        <w:rFonts w:hint="default"/>
      </w:rPr>
    </w:lvl>
    <w:lvl w:ilvl="2">
      <w:start w:val="1"/>
      <w:numFmt w:val="decimal"/>
      <w:isLgl/>
      <w:lvlText w:val="%1.%2.%3"/>
      <w:lvlJc w:val="left"/>
      <w:pPr>
        <w:tabs>
          <w:tab w:val="num" w:pos="1318"/>
        </w:tabs>
        <w:ind w:left="1318"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 w15:restartNumberingAfterBreak="0">
    <w:nsid w:val="36644BBE"/>
    <w:multiLevelType w:val="multilevel"/>
    <w:tmpl w:val="CF488D3C"/>
    <w:numStyleLink w:val="Numbering-Main"/>
  </w:abstractNum>
  <w:abstractNum w:abstractNumId="4" w15:restartNumberingAfterBreak="0">
    <w:nsid w:val="563E5BAA"/>
    <w:multiLevelType w:val="multilevel"/>
    <w:tmpl w:val="1B40E89A"/>
    <w:lvl w:ilvl="0">
      <w:start w:val="1"/>
      <w:numFmt w:val="bullet"/>
      <w:lvlText w:val=""/>
      <w:lvlJc w:val="left"/>
      <w:pPr>
        <w:tabs>
          <w:tab w:val="num" w:pos="180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431A8"/>
    <w:multiLevelType w:val="hybridMultilevel"/>
    <w:tmpl w:val="88DE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60047"/>
    <w:multiLevelType w:val="multilevel"/>
    <w:tmpl w:val="972CF1C8"/>
    <w:styleLink w:val="StyleBulleted"/>
    <w:lvl w:ilvl="0">
      <w:start w:val="1"/>
      <w:numFmt w:val="bullet"/>
      <w:lvlText w:val=""/>
      <w:lvlJc w:val="left"/>
      <w:pPr>
        <w:tabs>
          <w:tab w:val="num" w:pos="1474"/>
        </w:tabs>
        <w:ind w:left="964" w:hanging="624"/>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3360328">
    <w:abstractNumId w:val="3"/>
  </w:num>
  <w:num w:numId="2" w16cid:durableId="1461533395">
    <w:abstractNumId w:val="2"/>
  </w:num>
  <w:num w:numId="3" w16cid:durableId="1397557344">
    <w:abstractNumId w:val="1"/>
  </w:num>
  <w:num w:numId="4" w16cid:durableId="1989624297">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8"/>
          </w:tabs>
          <w:ind w:left="1448" w:hanging="720"/>
        </w:pPr>
        <w:rPr>
          <w:rFonts w:ascii="Arial" w:hAnsi="Arial"/>
          <w:b/>
          <w:bCs/>
          <w:sz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16cid:durableId="2102794261">
    <w:abstractNumId w:val="4"/>
  </w:num>
  <w:num w:numId="6" w16cid:durableId="954598800">
    <w:abstractNumId w:val="6"/>
  </w:num>
  <w:num w:numId="7" w16cid:durableId="6039952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A1"/>
    <w:rsid w:val="000179B3"/>
    <w:rsid w:val="00020BD4"/>
    <w:rsid w:val="000243C1"/>
    <w:rsid w:val="0002557F"/>
    <w:rsid w:val="000319DA"/>
    <w:rsid w:val="00031CF3"/>
    <w:rsid w:val="00051A93"/>
    <w:rsid w:val="00053BBC"/>
    <w:rsid w:val="00093E60"/>
    <w:rsid w:val="000A0B79"/>
    <w:rsid w:val="000B0741"/>
    <w:rsid w:val="000B2B1F"/>
    <w:rsid w:val="000B6041"/>
    <w:rsid w:val="000D4ACB"/>
    <w:rsid w:val="00110081"/>
    <w:rsid w:val="00142C02"/>
    <w:rsid w:val="00143405"/>
    <w:rsid w:val="0014577D"/>
    <w:rsid w:val="001524D3"/>
    <w:rsid w:val="00165531"/>
    <w:rsid w:val="001A192D"/>
    <w:rsid w:val="001A3B8C"/>
    <w:rsid w:val="001B38FF"/>
    <w:rsid w:val="001C3A05"/>
    <w:rsid w:val="001C64B0"/>
    <w:rsid w:val="001C7ACD"/>
    <w:rsid w:val="001E737A"/>
    <w:rsid w:val="00200287"/>
    <w:rsid w:val="00213A85"/>
    <w:rsid w:val="002334DE"/>
    <w:rsid w:val="00233CC3"/>
    <w:rsid w:val="00241B5E"/>
    <w:rsid w:val="00250845"/>
    <w:rsid w:val="00276E72"/>
    <w:rsid w:val="00280D13"/>
    <w:rsid w:val="0029197D"/>
    <w:rsid w:val="002A52E6"/>
    <w:rsid w:val="002D4953"/>
    <w:rsid w:val="002F2660"/>
    <w:rsid w:val="002F62A1"/>
    <w:rsid w:val="0030270A"/>
    <w:rsid w:val="003036FA"/>
    <w:rsid w:val="0030417D"/>
    <w:rsid w:val="0033595A"/>
    <w:rsid w:val="003371FF"/>
    <w:rsid w:val="003559A8"/>
    <w:rsid w:val="00363775"/>
    <w:rsid w:val="00367EB8"/>
    <w:rsid w:val="00370B73"/>
    <w:rsid w:val="00373ACB"/>
    <w:rsid w:val="003840AF"/>
    <w:rsid w:val="00386207"/>
    <w:rsid w:val="00396891"/>
    <w:rsid w:val="003A52BD"/>
    <w:rsid w:val="003C1877"/>
    <w:rsid w:val="003D6C00"/>
    <w:rsid w:val="003E05C3"/>
    <w:rsid w:val="003F6428"/>
    <w:rsid w:val="003F644E"/>
    <w:rsid w:val="00410ABF"/>
    <w:rsid w:val="0041586F"/>
    <w:rsid w:val="0041597C"/>
    <w:rsid w:val="00423758"/>
    <w:rsid w:val="004256CD"/>
    <w:rsid w:val="00426C78"/>
    <w:rsid w:val="00427A2F"/>
    <w:rsid w:val="0044325B"/>
    <w:rsid w:val="00473B09"/>
    <w:rsid w:val="00475BA0"/>
    <w:rsid w:val="0048376D"/>
    <w:rsid w:val="004848A6"/>
    <w:rsid w:val="0049210F"/>
    <w:rsid w:val="00494CC5"/>
    <w:rsid w:val="004B549B"/>
    <w:rsid w:val="004D07C8"/>
    <w:rsid w:val="004D304C"/>
    <w:rsid w:val="004E481B"/>
    <w:rsid w:val="004F3027"/>
    <w:rsid w:val="004F3E2E"/>
    <w:rsid w:val="004F5E94"/>
    <w:rsid w:val="00501C60"/>
    <w:rsid w:val="00504AC8"/>
    <w:rsid w:val="00512E60"/>
    <w:rsid w:val="0053496A"/>
    <w:rsid w:val="005374CD"/>
    <w:rsid w:val="00545D5C"/>
    <w:rsid w:val="00546378"/>
    <w:rsid w:val="0054742D"/>
    <w:rsid w:val="00552AB8"/>
    <w:rsid w:val="00555982"/>
    <w:rsid w:val="0057795B"/>
    <w:rsid w:val="0059753C"/>
    <w:rsid w:val="005A32CD"/>
    <w:rsid w:val="005A7813"/>
    <w:rsid w:val="005B6FE9"/>
    <w:rsid w:val="005C36CC"/>
    <w:rsid w:val="005F0E4D"/>
    <w:rsid w:val="00601E6A"/>
    <w:rsid w:val="00601F7D"/>
    <w:rsid w:val="0060596E"/>
    <w:rsid w:val="00605B72"/>
    <w:rsid w:val="00606970"/>
    <w:rsid w:val="00614FDA"/>
    <w:rsid w:val="00620713"/>
    <w:rsid w:val="006258E1"/>
    <w:rsid w:val="00634B46"/>
    <w:rsid w:val="006355A1"/>
    <w:rsid w:val="006526F9"/>
    <w:rsid w:val="00680B7A"/>
    <w:rsid w:val="006953C8"/>
    <w:rsid w:val="006A0229"/>
    <w:rsid w:val="006B1129"/>
    <w:rsid w:val="006C0968"/>
    <w:rsid w:val="006C27F8"/>
    <w:rsid w:val="006D5410"/>
    <w:rsid w:val="006E029A"/>
    <w:rsid w:val="006E034F"/>
    <w:rsid w:val="006E338E"/>
    <w:rsid w:val="006E4CA7"/>
    <w:rsid w:val="006E690F"/>
    <w:rsid w:val="006F33F6"/>
    <w:rsid w:val="00715F32"/>
    <w:rsid w:val="00722436"/>
    <w:rsid w:val="007301C5"/>
    <w:rsid w:val="00732555"/>
    <w:rsid w:val="0073291F"/>
    <w:rsid w:val="00755A82"/>
    <w:rsid w:val="00757FB0"/>
    <w:rsid w:val="00761A5F"/>
    <w:rsid w:val="00765D50"/>
    <w:rsid w:val="007825B1"/>
    <w:rsid w:val="007C17F2"/>
    <w:rsid w:val="007E4EAA"/>
    <w:rsid w:val="007E57E7"/>
    <w:rsid w:val="007E5EAC"/>
    <w:rsid w:val="007F0870"/>
    <w:rsid w:val="007F4369"/>
    <w:rsid w:val="008065F7"/>
    <w:rsid w:val="008207F8"/>
    <w:rsid w:val="00833508"/>
    <w:rsid w:val="00845B7D"/>
    <w:rsid w:val="00853B27"/>
    <w:rsid w:val="0087739A"/>
    <w:rsid w:val="008801A5"/>
    <w:rsid w:val="00886BFD"/>
    <w:rsid w:val="00886E1B"/>
    <w:rsid w:val="00891DBE"/>
    <w:rsid w:val="008B5D0A"/>
    <w:rsid w:val="008C4CC6"/>
    <w:rsid w:val="008C6F9E"/>
    <w:rsid w:val="008E0A02"/>
    <w:rsid w:val="008E102A"/>
    <w:rsid w:val="008E4DE2"/>
    <w:rsid w:val="008F12AD"/>
    <w:rsid w:val="00914118"/>
    <w:rsid w:val="00922766"/>
    <w:rsid w:val="009255AD"/>
    <w:rsid w:val="00951DF8"/>
    <w:rsid w:val="00970680"/>
    <w:rsid w:val="0097149C"/>
    <w:rsid w:val="009A76AF"/>
    <w:rsid w:val="009B2D06"/>
    <w:rsid w:val="009B6924"/>
    <w:rsid w:val="009B6E23"/>
    <w:rsid w:val="009D4893"/>
    <w:rsid w:val="009E1DFB"/>
    <w:rsid w:val="009F0B13"/>
    <w:rsid w:val="00A12E22"/>
    <w:rsid w:val="00A22D4E"/>
    <w:rsid w:val="00A42096"/>
    <w:rsid w:val="00A4543B"/>
    <w:rsid w:val="00A50F38"/>
    <w:rsid w:val="00A6576B"/>
    <w:rsid w:val="00A70983"/>
    <w:rsid w:val="00A9048F"/>
    <w:rsid w:val="00AB7923"/>
    <w:rsid w:val="00AE023A"/>
    <w:rsid w:val="00AE0D3C"/>
    <w:rsid w:val="00AE4225"/>
    <w:rsid w:val="00AE4EF9"/>
    <w:rsid w:val="00AF5D38"/>
    <w:rsid w:val="00AF7E21"/>
    <w:rsid w:val="00B001E0"/>
    <w:rsid w:val="00B03F45"/>
    <w:rsid w:val="00B04F31"/>
    <w:rsid w:val="00B34F39"/>
    <w:rsid w:val="00B42D94"/>
    <w:rsid w:val="00BA2D6B"/>
    <w:rsid w:val="00BB16B2"/>
    <w:rsid w:val="00BC2960"/>
    <w:rsid w:val="00BC7AC6"/>
    <w:rsid w:val="00C07872"/>
    <w:rsid w:val="00C41AE9"/>
    <w:rsid w:val="00C42234"/>
    <w:rsid w:val="00C536BA"/>
    <w:rsid w:val="00C84BDB"/>
    <w:rsid w:val="00C9113D"/>
    <w:rsid w:val="00C93E4D"/>
    <w:rsid w:val="00CB3B8D"/>
    <w:rsid w:val="00CB5587"/>
    <w:rsid w:val="00CC4B0C"/>
    <w:rsid w:val="00CD32BA"/>
    <w:rsid w:val="00CD78D1"/>
    <w:rsid w:val="00CE5A2D"/>
    <w:rsid w:val="00D00EC6"/>
    <w:rsid w:val="00D02F0C"/>
    <w:rsid w:val="00D43011"/>
    <w:rsid w:val="00D620E0"/>
    <w:rsid w:val="00D80EDE"/>
    <w:rsid w:val="00D838B4"/>
    <w:rsid w:val="00D860B6"/>
    <w:rsid w:val="00D8686A"/>
    <w:rsid w:val="00D868D1"/>
    <w:rsid w:val="00DA5507"/>
    <w:rsid w:val="00DB7E33"/>
    <w:rsid w:val="00DC2055"/>
    <w:rsid w:val="00DC69BA"/>
    <w:rsid w:val="00DC7DFF"/>
    <w:rsid w:val="00DD171F"/>
    <w:rsid w:val="00E00E41"/>
    <w:rsid w:val="00E05F0A"/>
    <w:rsid w:val="00E100D2"/>
    <w:rsid w:val="00E14180"/>
    <w:rsid w:val="00E22789"/>
    <w:rsid w:val="00E245D5"/>
    <w:rsid w:val="00E33E5B"/>
    <w:rsid w:val="00E33F9F"/>
    <w:rsid w:val="00E4466E"/>
    <w:rsid w:val="00E472D8"/>
    <w:rsid w:val="00E57FD2"/>
    <w:rsid w:val="00E769B4"/>
    <w:rsid w:val="00E80B2D"/>
    <w:rsid w:val="00EB1F4D"/>
    <w:rsid w:val="00ED1271"/>
    <w:rsid w:val="00ED5B30"/>
    <w:rsid w:val="00EE221B"/>
    <w:rsid w:val="00EE4402"/>
    <w:rsid w:val="00EE61A4"/>
    <w:rsid w:val="00F01E8F"/>
    <w:rsid w:val="00F11998"/>
    <w:rsid w:val="00F129B1"/>
    <w:rsid w:val="00F16CFD"/>
    <w:rsid w:val="00F23565"/>
    <w:rsid w:val="00F27F84"/>
    <w:rsid w:val="00F35A83"/>
    <w:rsid w:val="00F44150"/>
    <w:rsid w:val="00F63878"/>
    <w:rsid w:val="00F720B6"/>
    <w:rsid w:val="00F8688C"/>
    <w:rsid w:val="00F94A3E"/>
    <w:rsid w:val="00F96159"/>
    <w:rsid w:val="00FA117B"/>
    <w:rsid w:val="00FA1752"/>
    <w:rsid w:val="00FB2652"/>
    <w:rsid w:val="00FB72A5"/>
    <w:rsid w:val="00FC3B47"/>
    <w:rsid w:val="00FD0827"/>
    <w:rsid w:val="00FE4F5B"/>
    <w:rsid w:val="00FE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1ED9D2"/>
  <w15:chartTrackingRefBased/>
  <w15:docId w15:val="{FE9F3DDE-539D-4D74-B91E-CD51A96A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B1"/>
    <w:pPr>
      <w:spacing w:line="276" w:lineRule="auto"/>
    </w:pPr>
    <w:rPr>
      <w:rFonts w:ascii="Calibri" w:hAnsi="Calibri"/>
      <w:sz w:val="22"/>
      <w:lang w:eastAsia="en-US"/>
    </w:rPr>
  </w:style>
  <w:style w:type="paragraph" w:styleId="Heading1">
    <w:name w:val="heading 1"/>
    <w:basedOn w:val="Normal"/>
    <w:next w:val="Normal"/>
    <w:qFormat/>
    <w:rsid w:val="00410ABF"/>
    <w:pPr>
      <w:keepNext/>
      <w:spacing w:before="240" w:after="60"/>
      <w:outlineLvl w:val="0"/>
    </w:pPr>
    <w:rPr>
      <w:b/>
      <w:iCs/>
      <w:caps/>
      <w:kern w:val="28"/>
      <w:sz w:val="28"/>
      <w:lang w:val="en-US"/>
    </w:rPr>
  </w:style>
  <w:style w:type="paragraph" w:styleId="Heading2">
    <w:name w:val="heading 2"/>
    <w:basedOn w:val="Normal"/>
    <w:next w:val="Normal"/>
    <w:qFormat/>
    <w:pPr>
      <w:keepNext/>
      <w:spacing w:before="240" w:after="60"/>
      <w:outlineLvl w:val="1"/>
    </w:pPr>
    <w:rPr>
      <w:rFonts w:cs="Arial"/>
      <w:b/>
      <w:bCs/>
      <w:sz w:val="24"/>
      <w:szCs w:val="28"/>
      <w:lang w:val="en-U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ahoma"/>
    </w:rPr>
  </w:style>
  <w:style w:type="paragraph" w:styleId="Footer">
    <w:name w:val="footer"/>
    <w:basedOn w:val="Normal"/>
    <w:link w:val="FooterChar"/>
    <w:pPr>
      <w:tabs>
        <w:tab w:val="center" w:pos="4320"/>
        <w:tab w:val="right" w:pos="8640"/>
      </w:tabs>
    </w:pPr>
    <w:rPr>
      <w:rFonts w:cs="Tahoma"/>
    </w:rPr>
  </w:style>
  <w:style w:type="table" w:styleId="TableGrid">
    <w:name w:val="Table Grid"/>
    <w:basedOn w:val="TableNormal"/>
    <w:rsid w:val="00C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
    <w:name w:val="Headings"/>
    <w:rsid w:val="00CD78D1"/>
    <w:rPr>
      <w:rFonts w:ascii="Arial" w:hAnsi="Arial"/>
      <w:b/>
      <w:bCs/>
      <w:sz w:val="24"/>
    </w:rPr>
  </w:style>
  <w:style w:type="paragraph" w:customStyle="1" w:styleId="BodyTextFrontPage">
    <w:name w:val="BodyText Front Page"/>
    <w:basedOn w:val="Normal"/>
    <w:rsid w:val="00D838B4"/>
    <w:pPr>
      <w:framePr w:hSpace="180" w:wrap="around" w:vAnchor="text" w:hAnchor="margin" w:xAlign="center" w:y="37"/>
      <w:jc w:val="center"/>
    </w:pPr>
    <w:rPr>
      <w:sz w:val="24"/>
    </w:rPr>
  </w:style>
  <w:style w:type="paragraph" w:styleId="TOC2">
    <w:name w:val="toc 2"/>
    <w:basedOn w:val="Heading2"/>
    <w:next w:val="Normal"/>
    <w:autoRedefine/>
    <w:semiHidden/>
    <w:rsid w:val="00A6576B"/>
    <w:pPr>
      <w:keepNext w:val="0"/>
      <w:spacing w:before="120" w:after="0"/>
      <w:ind w:left="220"/>
      <w:outlineLvl w:val="9"/>
    </w:pPr>
    <w:rPr>
      <w:rFonts w:cs="Times New Roman"/>
      <w:b w:val="0"/>
      <w:bCs w:val="0"/>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style>
  <w:style w:type="paragraph" w:styleId="TOC4">
    <w:name w:val="toc 4"/>
    <w:basedOn w:val="Normal"/>
    <w:next w:val="Normal"/>
    <w:autoRedefine/>
    <w:semiHidden/>
    <w:pPr>
      <w:ind w:left="660"/>
    </w:pPr>
    <w:rPr>
      <w:rFonts w:ascii="Times New Roman" w:hAnsi="Times New Roman"/>
      <w:sz w:val="20"/>
    </w:rPr>
  </w:style>
  <w:style w:type="paragraph" w:styleId="TOC5">
    <w:name w:val="toc 5"/>
    <w:basedOn w:val="Normal"/>
    <w:next w:val="Normal"/>
    <w:autoRedefine/>
    <w:semiHidden/>
    <w:pPr>
      <w:ind w:left="880"/>
    </w:pPr>
    <w:rPr>
      <w:rFonts w:ascii="Times New Roman" w:hAnsi="Times New Roman"/>
      <w:sz w:val="20"/>
    </w:rPr>
  </w:style>
  <w:style w:type="paragraph" w:styleId="TOC6">
    <w:name w:val="toc 6"/>
    <w:basedOn w:val="Normal"/>
    <w:next w:val="Normal"/>
    <w:autoRedefine/>
    <w:semiHidden/>
    <w:pPr>
      <w:ind w:left="1100"/>
    </w:pPr>
    <w:rPr>
      <w:rFonts w:ascii="Times New Roman" w:hAnsi="Times New Roman"/>
      <w:sz w:val="20"/>
    </w:rPr>
  </w:style>
  <w:style w:type="paragraph" w:styleId="TOC7">
    <w:name w:val="toc 7"/>
    <w:basedOn w:val="Normal"/>
    <w:next w:val="Normal"/>
    <w:autoRedefine/>
    <w:semiHidden/>
    <w:pPr>
      <w:ind w:left="1320"/>
    </w:pPr>
    <w:rPr>
      <w:rFonts w:ascii="Times New Roman" w:hAnsi="Times New Roman"/>
      <w:sz w:val="20"/>
    </w:rPr>
  </w:style>
  <w:style w:type="paragraph" w:styleId="TOC8">
    <w:name w:val="toc 8"/>
    <w:basedOn w:val="Normal"/>
    <w:next w:val="Normal"/>
    <w:autoRedefine/>
    <w:semiHidden/>
    <w:pPr>
      <w:ind w:left="1540"/>
    </w:pPr>
    <w:rPr>
      <w:rFonts w:ascii="Times New Roman" w:hAnsi="Times New Roman"/>
      <w:sz w:val="20"/>
    </w:rPr>
  </w:style>
  <w:style w:type="paragraph" w:styleId="TOC9">
    <w:name w:val="toc 9"/>
    <w:basedOn w:val="Normal"/>
    <w:next w:val="Normal"/>
    <w:autoRedefine/>
    <w:semiHidden/>
    <w:pPr>
      <w:ind w:left="1760"/>
    </w:pPr>
    <w:rPr>
      <w:rFonts w:ascii="Times New Roman" w:hAnsi="Times New Roman"/>
      <w:sz w:val="20"/>
    </w:rPr>
  </w:style>
  <w:style w:type="paragraph" w:customStyle="1" w:styleId="MainTitle">
    <w:name w:val="Main Title"/>
    <w:basedOn w:val="Heading1"/>
    <w:rsid w:val="00D838B4"/>
    <w:pPr>
      <w:jc w:val="center"/>
    </w:pPr>
    <w:rPr>
      <w:bCs/>
      <w:iCs w:val="0"/>
      <w:sz w:val="40"/>
    </w:rPr>
  </w:style>
  <w:style w:type="character" w:customStyle="1" w:styleId="FooterChar">
    <w:name w:val="Footer Char"/>
    <w:link w:val="Footer"/>
    <w:rsid w:val="00A9048F"/>
    <w:rPr>
      <w:rFonts w:ascii="Arial" w:hAnsi="Arial" w:cs="Tahoma"/>
      <w:sz w:val="22"/>
      <w:lang w:val="en-GB" w:eastAsia="en-US" w:bidi="ar-SA"/>
    </w:rPr>
  </w:style>
  <w:style w:type="character" w:customStyle="1" w:styleId="Heading4Char">
    <w:name w:val="Heading 4 Char"/>
    <w:link w:val="Heading4"/>
    <w:rsid w:val="00A9048F"/>
    <w:rPr>
      <w:rFonts w:ascii="Arial" w:hAnsi="Arial" w:cs="Tahoma"/>
      <w:b/>
      <w:bCs/>
      <w:color w:val="FF0000"/>
      <w:sz w:val="24"/>
      <w:szCs w:val="24"/>
      <w:lang w:val="en-GB" w:eastAsia="en-US" w:bidi="ar-SA"/>
    </w:rPr>
  </w:style>
  <w:style w:type="numbering" w:customStyle="1" w:styleId="Numbering-Main">
    <w:name w:val="Numbering - Main"/>
    <w:basedOn w:val="NoList"/>
    <w:rsid w:val="00620713"/>
    <w:pPr>
      <w:numPr>
        <w:numId w:val="2"/>
      </w:numPr>
    </w:pPr>
  </w:style>
  <w:style w:type="numbering" w:customStyle="1" w:styleId="Numbering-2ndLevel">
    <w:name w:val="Numbering - 2nd Level"/>
    <w:basedOn w:val="NoList"/>
    <w:rsid w:val="00891DBE"/>
    <w:pPr>
      <w:numPr>
        <w:numId w:val="3"/>
      </w:numPr>
    </w:pPr>
  </w:style>
  <w:style w:type="paragraph" w:customStyle="1" w:styleId="BodyText-2ndlevel">
    <w:name w:val="Body Text - 2nd level"/>
    <w:basedOn w:val="Normal"/>
    <w:rsid w:val="0002557F"/>
    <w:pPr>
      <w:ind w:left="1066"/>
    </w:pPr>
    <w:rPr>
      <w:sz w:val="24"/>
    </w:rPr>
  </w:style>
  <w:style w:type="paragraph" w:customStyle="1" w:styleId="Bodytext-1stLevel">
    <w:name w:val="Body text - 1st Level"/>
    <w:basedOn w:val="Normal"/>
    <w:rsid w:val="0002557F"/>
    <w:pPr>
      <w:ind w:left="390"/>
    </w:pPr>
    <w:rPr>
      <w:sz w:val="24"/>
    </w:rPr>
  </w:style>
  <w:style w:type="character" w:customStyle="1" w:styleId="BodyText-Tables2">
    <w:name w:val="Body Text - Tables 2"/>
    <w:rsid w:val="0059753C"/>
    <w:rPr>
      <w:rFonts w:ascii="Arial" w:hAnsi="Arial"/>
      <w:sz w:val="24"/>
    </w:rPr>
  </w:style>
  <w:style w:type="numbering" w:customStyle="1" w:styleId="StyleBulleted">
    <w:name w:val="Style Bulleted"/>
    <w:rsid w:val="00FA1752"/>
    <w:pPr>
      <w:numPr>
        <w:numId w:val="6"/>
      </w:numPr>
    </w:pPr>
  </w:style>
  <w:style w:type="paragraph" w:styleId="NoSpacing">
    <w:name w:val="No Spacing"/>
    <w:uiPriority w:val="1"/>
    <w:qFormat/>
    <w:rsid w:val="00386207"/>
    <w:rPr>
      <w:rFonts w:ascii="Calibri" w:hAnsi="Calibri"/>
      <w:sz w:val="22"/>
      <w:lang w:eastAsia="en-US"/>
    </w:rPr>
  </w:style>
  <w:style w:type="character" w:styleId="Hyperlink">
    <w:name w:val="Hyperlink"/>
    <w:basedOn w:val="DefaultParagraphFont"/>
    <w:rsid w:val="004848A6"/>
    <w:rPr>
      <w:color w:val="0563C1" w:themeColor="hyperlink"/>
      <w:u w:val="single"/>
    </w:rPr>
  </w:style>
  <w:style w:type="paragraph" w:styleId="ListParagraph">
    <w:name w:val="List Paragraph"/>
    <w:basedOn w:val="Normal"/>
    <w:uiPriority w:val="34"/>
    <w:qFormat/>
    <w:rsid w:val="004B5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s.gosh.nhs.uk/laboratory-services/chemical-pathology/tests/urine-amino-acids?msclkid=b0aec0aeb0f011ec8e453c8c79994a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Urinary Organic Acids</vt:lpstr>
    </vt:vector>
  </TitlesOfParts>
  <Company>Basildon &amp; Thurrock GHT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Organic Acids</dc:title>
  <dc:subject/>
  <dc:creator>Katherine Reade</dc:creator>
  <cp:keywords/>
  <cp:lastModifiedBy>Kim Aston</cp:lastModifiedBy>
  <cp:revision>5</cp:revision>
  <cp:lastPrinted>2013-05-21T17:03:00Z</cp:lastPrinted>
  <dcterms:created xsi:type="dcterms:W3CDTF">2022-03-31T12:42:00Z</dcterms:created>
  <dcterms:modified xsi:type="dcterms:W3CDTF">2023-07-07T13:28:00Z</dcterms:modified>
</cp:coreProperties>
</file>