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6314FEB9" w14:textId="77777777" w:rsidTr="00C31F19">
        <w:trPr>
          <w:trHeight w:val="773"/>
        </w:trPr>
        <w:tc>
          <w:tcPr>
            <w:tcW w:w="10631" w:type="dxa"/>
            <w:gridSpan w:val="4"/>
          </w:tcPr>
          <w:p w14:paraId="441B36E0" w14:textId="56E1BDB5" w:rsidR="009F0B13" w:rsidRPr="00C31F19" w:rsidRDefault="00EE762D" w:rsidP="00D02F0C">
            <w:pPr>
              <w:rPr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8DC658" wp14:editId="57545F3D">
                  <wp:simplePos x="0" y="0"/>
                  <wp:positionH relativeFrom="margin">
                    <wp:posOffset>2255520</wp:posOffset>
                  </wp:positionH>
                  <wp:positionV relativeFrom="paragraph">
                    <wp:posOffset>-452120</wp:posOffset>
                  </wp:positionV>
                  <wp:extent cx="527725" cy="893152"/>
                  <wp:effectExtent l="0" t="0" r="5715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25" cy="89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731" w:rsidRPr="00C31F19">
              <w:rPr>
                <w:b/>
                <w:sz w:val="36"/>
              </w:rPr>
              <w:t>Liver Function Tests</w:t>
            </w:r>
          </w:p>
        </w:tc>
      </w:tr>
      <w:tr w:rsidR="009F0B13" w:rsidRPr="00F23565" w14:paraId="45A02DF1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77CE6C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4DAD7B5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362854A" w14:textId="77777777" w:rsidR="00BA2D6B" w:rsidRPr="0060596E" w:rsidRDefault="0020673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206731">
              <w:rPr>
                <w:rFonts w:asciiTheme="minorHAnsi" w:hAnsiTheme="minorHAnsi"/>
                <w:szCs w:val="22"/>
              </w:rPr>
              <w:t>LFTs</w:t>
            </w:r>
          </w:p>
        </w:tc>
      </w:tr>
      <w:tr w:rsidR="00BA2D6B" w:rsidRPr="00F23565" w14:paraId="51969A89" w14:textId="77777777" w:rsidTr="009F0B13">
        <w:tc>
          <w:tcPr>
            <w:tcW w:w="3119" w:type="dxa"/>
            <w:gridSpan w:val="2"/>
          </w:tcPr>
          <w:p w14:paraId="2D0F4A0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3E9788F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66F56AF" w14:textId="47F15CDB" w:rsidR="00BA2D6B" w:rsidRDefault="00C31F19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Used in the d</w:t>
            </w:r>
            <w:r w:rsidR="00206731" w:rsidRPr="00206731">
              <w:rPr>
                <w:rFonts w:asciiTheme="minorHAnsi" w:hAnsiTheme="minorHAnsi"/>
                <w:szCs w:val="22"/>
                <w:lang w:eastAsia="en-GB"/>
              </w:rPr>
              <w:t>iagnosis and monitoring of liver disease</w:t>
            </w:r>
            <w:r w:rsidR="00206731"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  <w:p w14:paraId="085D4C52" w14:textId="103863E8" w:rsidR="00D866C6" w:rsidRDefault="00206731" w:rsidP="00C31F1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206731">
              <w:rPr>
                <w:rFonts w:asciiTheme="minorHAnsi" w:hAnsiTheme="minorHAnsi"/>
                <w:szCs w:val="22"/>
                <w:lang w:eastAsia="en-GB"/>
              </w:rPr>
              <w:t xml:space="preserve">Should not be repeated within 3 days unless specifically indicated </w:t>
            </w:r>
            <w:proofErr w:type="gramStart"/>
            <w:r w:rsidRPr="00206731">
              <w:rPr>
                <w:rFonts w:asciiTheme="minorHAnsi" w:hAnsiTheme="minorHAnsi"/>
                <w:szCs w:val="22"/>
                <w:lang w:eastAsia="en-GB"/>
              </w:rPr>
              <w:t>e.g.</w:t>
            </w:r>
            <w:proofErr w:type="gramEnd"/>
            <w:r w:rsidRPr="00206731">
              <w:rPr>
                <w:rFonts w:asciiTheme="minorHAnsi" w:hAnsiTheme="minorHAnsi"/>
                <w:szCs w:val="22"/>
                <w:lang w:eastAsia="en-GB"/>
              </w:rPr>
              <w:t xml:space="preserve"> paracetamol overdose.</w:t>
            </w:r>
          </w:p>
          <w:p w14:paraId="7E45A9F8" w14:textId="77777777" w:rsidR="00206731" w:rsidRPr="0060596E" w:rsidRDefault="00D866C6" w:rsidP="00D866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Where globulin concentration is found to be raised above a locally determined cut-off, serum electrophoresis may be automatically added to the request, unless serum electrophoresis has been performed for that patient within 60 days.</w:t>
            </w:r>
            <w:r w:rsidR="00206731" w:rsidRPr="00206731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</w:p>
        </w:tc>
      </w:tr>
      <w:tr w:rsidR="009F0B13" w:rsidRPr="00F23565" w14:paraId="1B2E79B4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9B354F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0FCF170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6B2D065" w14:textId="77777777" w:rsidR="00206731" w:rsidRPr="00206731" w:rsidRDefault="00206731" w:rsidP="00206731">
            <w:pPr>
              <w:pStyle w:val="NoSpacing"/>
            </w:pPr>
            <w:r w:rsidRPr="00206731">
              <w:t xml:space="preserve">Total Protein, Albumin, </w:t>
            </w:r>
            <w:proofErr w:type="gramStart"/>
            <w:r w:rsidRPr="00206731">
              <w:t>Globulin,  Total</w:t>
            </w:r>
            <w:proofErr w:type="gramEnd"/>
            <w:r w:rsidRPr="00206731">
              <w:t xml:space="preserve"> Bilirubin,  Alkaline Phosphatase</w:t>
            </w:r>
          </w:p>
          <w:p w14:paraId="64F1614B" w14:textId="77777777" w:rsidR="00BA2D6B" w:rsidRPr="0060596E" w:rsidRDefault="00206731" w:rsidP="00206731">
            <w:pPr>
              <w:pStyle w:val="NoSpacing"/>
            </w:pPr>
            <w:r w:rsidRPr="00206731">
              <w:t xml:space="preserve"> ALT</w:t>
            </w:r>
          </w:p>
        </w:tc>
      </w:tr>
      <w:tr w:rsidR="00BA2D6B" w:rsidRPr="00F23565" w14:paraId="122221E6" w14:textId="77777777" w:rsidTr="009F0B13">
        <w:tc>
          <w:tcPr>
            <w:tcW w:w="3119" w:type="dxa"/>
            <w:gridSpan w:val="2"/>
          </w:tcPr>
          <w:p w14:paraId="60FFA0BE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49C6754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D8D55D1" w14:textId="35D77CB9" w:rsidR="00BA2D6B" w:rsidRPr="0060596E" w:rsidRDefault="00206731" w:rsidP="00C31F1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206731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C31F19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206731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C31F19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5A1F6A13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27B286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09C9EBE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26CF49C" w14:textId="77777777" w:rsidR="00BA2D6B" w:rsidRDefault="00206731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206731">
              <w:rPr>
                <w:rFonts w:asciiTheme="minorHAnsi" w:hAnsiTheme="minorHAnsi"/>
                <w:szCs w:val="22"/>
                <w:lang w:eastAsia="en-GB"/>
              </w:rPr>
              <w:t>On request.</w:t>
            </w:r>
          </w:p>
          <w:p w14:paraId="48F0D4C5" w14:textId="77777777" w:rsidR="006F4B42" w:rsidRPr="0060596E" w:rsidRDefault="006F4B42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Minimum retesting interval is 24 hours.</w:t>
            </w:r>
          </w:p>
        </w:tc>
      </w:tr>
      <w:tr w:rsidR="00BA2D6B" w:rsidRPr="00F23565" w14:paraId="03DE4574" w14:textId="77777777" w:rsidTr="00BA2D6B">
        <w:tc>
          <w:tcPr>
            <w:tcW w:w="3119" w:type="dxa"/>
            <w:gridSpan w:val="2"/>
          </w:tcPr>
          <w:p w14:paraId="023532F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4DF031C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2B34EAF" w14:textId="77777777" w:rsidR="00BA2D6B" w:rsidRPr="0060596E" w:rsidRDefault="0020673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206731">
              <w:rPr>
                <w:rFonts w:asciiTheme="minorHAnsi" w:hAnsiTheme="minorHAnsi"/>
                <w:szCs w:val="22"/>
              </w:rPr>
              <w:t>Same day</w:t>
            </w:r>
          </w:p>
        </w:tc>
      </w:tr>
      <w:tr w:rsidR="00BA2D6B" w:rsidRPr="00F23565" w14:paraId="29FE3E9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11B174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0758079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727B958" w14:textId="77777777" w:rsidR="00BA2D6B" w:rsidRPr="0060596E" w:rsidRDefault="0020673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206731">
              <w:rPr>
                <w:rFonts w:asciiTheme="minorHAnsi" w:hAnsiTheme="minorHAnsi"/>
                <w:szCs w:val="22"/>
              </w:rPr>
              <w:t>None required.</w:t>
            </w:r>
          </w:p>
        </w:tc>
      </w:tr>
      <w:tr w:rsidR="00BA2D6B" w:rsidRPr="00F23565" w14:paraId="0E9EEC60" w14:textId="77777777" w:rsidTr="00BA2D6B">
        <w:tc>
          <w:tcPr>
            <w:tcW w:w="3119" w:type="dxa"/>
            <w:gridSpan w:val="2"/>
          </w:tcPr>
          <w:p w14:paraId="19B52D3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5695179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0B79A15" w14:textId="7A75FDAB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6B859B93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01DEE31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5EB99B8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1906529" w14:textId="77777777" w:rsidR="00BA2D6B" w:rsidRPr="0060596E" w:rsidRDefault="0020673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206731">
              <w:rPr>
                <w:rFonts w:asciiTheme="minorHAnsi" w:hAnsiTheme="minorHAnsi"/>
                <w:szCs w:val="22"/>
              </w:rPr>
              <w:t>Serum</w:t>
            </w:r>
            <w:r w:rsidR="008A64CA">
              <w:rPr>
                <w:rFonts w:asciiTheme="minorHAnsi" w:hAnsiTheme="minorHAnsi"/>
                <w:szCs w:val="22"/>
              </w:rPr>
              <w:t xml:space="preserve"> and plasma</w:t>
            </w:r>
          </w:p>
        </w:tc>
      </w:tr>
      <w:tr w:rsidR="00BA2D6B" w:rsidRPr="00F23565" w14:paraId="1EF466B0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7FAE53C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5DD00EF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1DB23AD" w14:textId="77777777" w:rsidR="00BA2D6B" w:rsidRPr="0060596E" w:rsidRDefault="00206731" w:rsidP="00206731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206731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BA2D6B" w:rsidRPr="00F23565" w14:paraId="5019FDA9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21142251" w14:textId="77777777" w:rsidR="00BA2D6B" w:rsidRPr="00276E72" w:rsidRDefault="008A64CA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Acceptable </w:t>
            </w:r>
            <w:r w:rsidR="00BA2D6B" w:rsidRPr="00276E72">
              <w:rPr>
                <w:b/>
                <w:sz w:val="24"/>
              </w:rPr>
              <w:t>Container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83" w:type="dxa"/>
            <w:shd w:val="clear" w:color="auto" w:fill="auto"/>
          </w:tcPr>
          <w:p w14:paraId="1C752FA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6B101CA" w14:textId="5D7FA25D" w:rsidR="008A64CA" w:rsidRDefault="008A64CA" w:rsidP="008A64C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    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46AB123C" wp14:editId="2BE77113">
                  <wp:extent cx="2228850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ST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025" cy="45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Yellow top (SST) tube</w:t>
            </w:r>
          </w:p>
          <w:p w14:paraId="5F9E751A" w14:textId="77777777" w:rsidR="008A64CA" w:rsidRDefault="008A64CA" w:rsidP="008A64C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    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68E9A13E" wp14:editId="65DBC254">
                  <wp:extent cx="315175" cy="2068693"/>
                  <wp:effectExtent l="0" t="318" r="8573" b="8572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th hep dark gre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6965" cy="214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3A1">
              <w:rPr>
                <w:rFonts w:asciiTheme="minorHAnsi" w:hAnsiTheme="minorHAnsi"/>
                <w:szCs w:val="22"/>
                <w:lang w:eastAsia="en-GB"/>
              </w:rPr>
              <w:t xml:space="preserve"> Green top (lithium-heparin) tube</w:t>
            </w:r>
          </w:p>
          <w:p w14:paraId="5CFF54AA" w14:textId="380E551C" w:rsidR="008A64CA" w:rsidRDefault="008A64CA" w:rsidP="008A64C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     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3ABB058E" wp14:editId="33D0E7C9">
                  <wp:extent cx="1238250" cy="342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orange top (lithium-heparin)</w:t>
            </w:r>
          </w:p>
          <w:p w14:paraId="4A5FDF04" w14:textId="5555C7E0" w:rsidR="008A64CA" w:rsidRDefault="008A64CA" w:rsidP="008A64C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   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7058E3A2" wp14:editId="1D21A0FC">
                  <wp:extent cx="1238250" cy="42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38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green top (lithium-heparin)</w:t>
            </w:r>
          </w:p>
          <w:p w14:paraId="5AFB6D73" w14:textId="7D1D4B6A" w:rsidR="008A64CA" w:rsidRDefault="008A64CA" w:rsidP="008A64C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Plain serum samples may also be used.</w:t>
            </w:r>
          </w:p>
          <w:p w14:paraId="7AA2BC2D" w14:textId="77777777" w:rsidR="00C31F19" w:rsidRPr="0060596E" w:rsidRDefault="00C31F19" w:rsidP="00C31F19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5F31439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0252B3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7CF7A94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4251F5E" w14:textId="6219B058" w:rsidR="00BA2D6B" w:rsidRPr="0060596E" w:rsidRDefault="008A64CA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See individual assays. </w:t>
            </w:r>
          </w:p>
        </w:tc>
      </w:tr>
      <w:tr w:rsidR="00BA2D6B" w:rsidRPr="00F23565" w14:paraId="78A05E09" w14:textId="77777777" w:rsidTr="00BA2D6B">
        <w:tc>
          <w:tcPr>
            <w:tcW w:w="3119" w:type="dxa"/>
            <w:gridSpan w:val="2"/>
          </w:tcPr>
          <w:p w14:paraId="7FFC08D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02ED324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0AD6FA1" w14:textId="25068E38" w:rsidR="00BA2D6B" w:rsidRPr="0060596E" w:rsidRDefault="00206731" w:rsidP="00206731">
            <w:pPr>
              <w:pStyle w:val="NoSpacing"/>
            </w:pPr>
            <w:r w:rsidRPr="00206731">
              <w:t xml:space="preserve">Patients may have a falsely low ALT if there </w:t>
            </w:r>
            <w:proofErr w:type="gramStart"/>
            <w:r w:rsidRPr="00206731">
              <w:t>is</w:t>
            </w:r>
            <w:proofErr w:type="gramEnd"/>
            <w:r w:rsidRPr="00206731">
              <w:t xml:space="preserve"> significant levels of sulfasalazine or </w:t>
            </w:r>
            <w:proofErr w:type="spellStart"/>
            <w:r w:rsidRPr="00206731">
              <w:t>sulfapyridine</w:t>
            </w:r>
            <w:proofErr w:type="spellEnd"/>
            <w:r w:rsidRPr="00206731">
              <w:t xml:space="preserve"> present in their blood. Therefore, in such patients, it is recommended that blood for ALT is taken before next dose (trough level) when any interference will be minimised.</w:t>
            </w:r>
          </w:p>
        </w:tc>
      </w:tr>
      <w:tr w:rsidR="00BA2D6B" w:rsidRPr="00F23565" w14:paraId="299BCA31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B447B5A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4D3CFDB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lastRenderedPageBreak/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37DF37E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97005D1" w14:textId="77777777" w:rsidR="00BA2D6B" w:rsidRPr="0060596E" w:rsidRDefault="00BA2D6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3BC8A8A4" w14:textId="77777777" w:rsidTr="00BA2D6B">
        <w:tc>
          <w:tcPr>
            <w:tcW w:w="3119" w:type="dxa"/>
            <w:gridSpan w:val="2"/>
          </w:tcPr>
          <w:p w14:paraId="58A8742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517D829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706D28F" w14:textId="4EB2B9FD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59C323C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BFA7C9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738B4F2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2677264" w14:textId="77777777" w:rsidR="00BA2D6B" w:rsidRPr="0060596E" w:rsidRDefault="00C31F19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</w:t>
            </w:r>
          </w:p>
        </w:tc>
      </w:tr>
      <w:tr w:rsidR="00EE61A4" w:rsidRPr="00F23565" w14:paraId="0C105438" w14:textId="77777777" w:rsidTr="00EE61A4">
        <w:tc>
          <w:tcPr>
            <w:tcW w:w="3119" w:type="dxa"/>
            <w:gridSpan w:val="2"/>
            <w:shd w:val="clear" w:color="auto" w:fill="auto"/>
          </w:tcPr>
          <w:p w14:paraId="243FDB59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40CEBDF9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565ACEB9" w14:textId="76153E05" w:rsidR="00EE61A4" w:rsidRDefault="00206731" w:rsidP="008A64CA">
            <w:pPr>
              <w:pStyle w:val="NoSpacing"/>
              <w:tabs>
                <w:tab w:val="left" w:pos="5160"/>
              </w:tabs>
              <w:rPr>
                <w:rFonts w:asciiTheme="minorHAnsi" w:hAnsiTheme="minorHAnsi"/>
                <w:szCs w:val="22"/>
              </w:rPr>
            </w:pPr>
            <w:r w:rsidRPr="00206731">
              <w:rPr>
                <w:rFonts w:asciiTheme="minorHAnsi" w:hAnsiTheme="minorHAnsi"/>
                <w:szCs w:val="22"/>
              </w:rPr>
              <w:t>Analysed from primary tube and stored at 4°C</w:t>
            </w:r>
            <w:r>
              <w:rPr>
                <w:rFonts w:asciiTheme="minorHAnsi" w:hAnsiTheme="minorHAnsi"/>
                <w:szCs w:val="22"/>
              </w:rPr>
              <w:t>.</w:t>
            </w:r>
            <w:r w:rsidR="008A64CA">
              <w:rPr>
                <w:rFonts w:asciiTheme="minorHAnsi" w:hAnsiTheme="minorHAnsi"/>
                <w:szCs w:val="22"/>
              </w:rPr>
              <w:tab/>
            </w:r>
          </w:p>
          <w:p w14:paraId="74B9842B" w14:textId="77777777" w:rsidR="008A64CA" w:rsidRPr="0060596E" w:rsidRDefault="008A64CA" w:rsidP="008A64CA">
            <w:pPr>
              <w:pStyle w:val="NoSpacing"/>
              <w:tabs>
                <w:tab w:val="left" w:pos="5160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Serum and plasma samples stable for 7 days at 4</w:t>
            </w:r>
            <w:r w:rsidRPr="00206731">
              <w:rPr>
                <w:rFonts w:asciiTheme="minorHAnsi" w:hAnsiTheme="minorHAnsi"/>
                <w:szCs w:val="22"/>
              </w:rPr>
              <w:t>°C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697B9FB7" w14:textId="26A9D34B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13"/>
      <w:footerReference w:type="default" r:id="rId14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E473" w14:textId="77777777" w:rsidR="00003899" w:rsidRDefault="00003899">
      <w:r>
        <w:separator/>
      </w:r>
    </w:p>
    <w:p w14:paraId="3ACEE8F1" w14:textId="77777777" w:rsidR="00003899" w:rsidRDefault="00003899"/>
    <w:p w14:paraId="2ECB453C" w14:textId="77777777" w:rsidR="00003899" w:rsidRDefault="00003899"/>
    <w:p w14:paraId="472BE6EA" w14:textId="77777777" w:rsidR="00003899" w:rsidRDefault="00003899"/>
    <w:p w14:paraId="7A4669DC" w14:textId="77777777" w:rsidR="00003899" w:rsidRDefault="00003899"/>
    <w:p w14:paraId="7A58085E" w14:textId="77777777" w:rsidR="00003899" w:rsidRDefault="00003899"/>
    <w:p w14:paraId="1E45EA46" w14:textId="77777777" w:rsidR="00003899" w:rsidRDefault="00003899"/>
    <w:p w14:paraId="7B393719" w14:textId="77777777" w:rsidR="00003899" w:rsidRDefault="00003899"/>
    <w:p w14:paraId="5D03B8B6" w14:textId="77777777" w:rsidR="00003899" w:rsidRDefault="00003899"/>
  </w:endnote>
  <w:endnote w:type="continuationSeparator" w:id="0">
    <w:p w14:paraId="7BFFC539" w14:textId="77777777" w:rsidR="00003899" w:rsidRDefault="00003899">
      <w:r>
        <w:continuationSeparator/>
      </w:r>
    </w:p>
    <w:p w14:paraId="1E3E26B4" w14:textId="77777777" w:rsidR="00003899" w:rsidRDefault="00003899"/>
    <w:p w14:paraId="515F78C5" w14:textId="77777777" w:rsidR="00003899" w:rsidRDefault="00003899"/>
    <w:p w14:paraId="56A8EBF1" w14:textId="77777777" w:rsidR="00003899" w:rsidRDefault="00003899"/>
    <w:p w14:paraId="2970563E" w14:textId="77777777" w:rsidR="00003899" w:rsidRDefault="00003899"/>
    <w:p w14:paraId="55A94C42" w14:textId="77777777" w:rsidR="00003899" w:rsidRDefault="00003899"/>
    <w:p w14:paraId="5ADF619B" w14:textId="77777777" w:rsidR="00003899" w:rsidRDefault="00003899"/>
    <w:p w14:paraId="46B06B26" w14:textId="77777777" w:rsidR="00003899" w:rsidRDefault="00003899"/>
    <w:p w14:paraId="790B6399" w14:textId="77777777" w:rsidR="00003899" w:rsidRDefault="00003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E4FF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7D17B617" w14:textId="128C9150" w:rsidR="00BA2D6B" w:rsidRPr="00276E72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 w:rsidRPr="00276E72">
      <w:rPr>
        <w:b/>
        <w:bCs/>
        <w:sz w:val="16"/>
      </w:rPr>
      <w:t>Version 1.</w:t>
    </w:r>
    <w:r w:rsidR="00E916AA">
      <w:rPr>
        <w:b/>
        <w:bCs/>
        <w:sz w:val="16"/>
      </w:rPr>
      <w:t>4</w:t>
    </w:r>
    <w:r w:rsidRPr="00276E72">
      <w:rPr>
        <w:b/>
        <w:bCs/>
        <w:sz w:val="16"/>
      </w:rPr>
      <w:t xml:space="preserve"> / </w:t>
    </w:r>
    <w:r w:rsidR="00E916AA">
      <w:rPr>
        <w:b/>
        <w:bCs/>
        <w:sz w:val="16"/>
      </w:rPr>
      <w:t>Sept</w:t>
    </w:r>
    <w:r w:rsidR="008F3D9E">
      <w:rPr>
        <w:b/>
        <w:bCs/>
        <w:sz w:val="16"/>
      </w:rPr>
      <w:t>ember</w:t>
    </w:r>
    <w:r w:rsidR="0003117B">
      <w:rPr>
        <w:b/>
        <w:bCs/>
        <w:sz w:val="16"/>
      </w:rPr>
      <w:t xml:space="preserve"> 2021</w:t>
    </w:r>
    <w:r w:rsidRPr="00276E72">
      <w:rPr>
        <w:b/>
        <w:bCs/>
        <w:sz w:val="16"/>
      </w:rPr>
      <w:ptab w:relativeTo="margin" w:alignment="center" w:leader="none"/>
    </w:r>
    <w:r w:rsidRPr="00276E72">
      <w:rPr>
        <w:b/>
        <w:bCs/>
        <w:sz w:val="16"/>
      </w:rPr>
      <w:t xml:space="preserve">Approved by: </w:t>
    </w:r>
    <w:r w:rsidR="00206731">
      <w:rPr>
        <w:b/>
        <w:bCs/>
        <w:sz w:val="16"/>
      </w:rPr>
      <w:t>Consultant Biochemist</w:t>
    </w:r>
    <w:r w:rsidRPr="00276E72">
      <w:rPr>
        <w:b/>
        <w:bCs/>
        <w:sz w:val="16"/>
      </w:rPr>
      <w:tab/>
    </w:r>
    <w:r w:rsidRPr="00276E72">
      <w:rPr>
        <w:b/>
        <w:bCs/>
        <w:sz w:val="16"/>
        <w:lang w:val="en-US"/>
      </w:rPr>
      <w:t xml:space="preserve">Page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PAGE </w:instrText>
    </w:r>
    <w:r w:rsidRPr="00276E72">
      <w:rPr>
        <w:b/>
        <w:bCs/>
        <w:sz w:val="16"/>
        <w:lang w:val="en-US"/>
      </w:rPr>
      <w:fldChar w:fldCharType="separate"/>
    </w:r>
    <w:r w:rsidR="008F3D9E">
      <w:rPr>
        <w:b/>
        <w:bCs/>
        <w:noProof/>
        <w:sz w:val="16"/>
        <w:lang w:val="en-US"/>
      </w:rPr>
      <w:t>1</w:t>
    </w:r>
    <w:r w:rsidRPr="00276E72">
      <w:rPr>
        <w:b/>
        <w:bCs/>
        <w:sz w:val="16"/>
        <w:lang w:val="en-US"/>
      </w:rPr>
      <w:fldChar w:fldCharType="end"/>
    </w:r>
    <w:r w:rsidRPr="00276E72">
      <w:rPr>
        <w:b/>
        <w:bCs/>
        <w:sz w:val="16"/>
        <w:lang w:val="en-US"/>
      </w:rPr>
      <w:t xml:space="preserve"> of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NUMPAGES </w:instrText>
    </w:r>
    <w:r w:rsidRPr="00276E72">
      <w:rPr>
        <w:b/>
        <w:bCs/>
        <w:sz w:val="16"/>
        <w:lang w:val="en-US"/>
      </w:rPr>
      <w:fldChar w:fldCharType="separate"/>
    </w:r>
    <w:r w:rsidR="008F3D9E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A137" w14:textId="77777777" w:rsidR="00003899" w:rsidRDefault="00003899">
      <w:r>
        <w:separator/>
      </w:r>
    </w:p>
    <w:p w14:paraId="580BB02B" w14:textId="77777777" w:rsidR="00003899" w:rsidRDefault="00003899"/>
    <w:p w14:paraId="53723EC2" w14:textId="77777777" w:rsidR="00003899" w:rsidRDefault="00003899"/>
    <w:p w14:paraId="60DE69D9" w14:textId="77777777" w:rsidR="00003899" w:rsidRDefault="00003899"/>
    <w:p w14:paraId="4F8F8DB6" w14:textId="77777777" w:rsidR="00003899" w:rsidRDefault="00003899"/>
    <w:p w14:paraId="513C5DD3" w14:textId="77777777" w:rsidR="00003899" w:rsidRDefault="00003899"/>
    <w:p w14:paraId="13E85846" w14:textId="77777777" w:rsidR="00003899" w:rsidRDefault="00003899"/>
    <w:p w14:paraId="538F2921" w14:textId="77777777" w:rsidR="00003899" w:rsidRDefault="00003899"/>
    <w:p w14:paraId="3629BD91" w14:textId="77777777" w:rsidR="00003899" w:rsidRDefault="00003899"/>
  </w:footnote>
  <w:footnote w:type="continuationSeparator" w:id="0">
    <w:p w14:paraId="710B38BD" w14:textId="77777777" w:rsidR="00003899" w:rsidRDefault="00003899">
      <w:r>
        <w:continuationSeparator/>
      </w:r>
    </w:p>
    <w:p w14:paraId="568C9249" w14:textId="77777777" w:rsidR="00003899" w:rsidRDefault="00003899"/>
    <w:p w14:paraId="69D4DC73" w14:textId="77777777" w:rsidR="00003899" w:rsidRDefault="00003899"/>
    <w:p w14:paraId="261A1121" w14:textId="77777777" w:rsidR="00003899" w:rsidRDefault="00003899"/>
    <w:p w14:paraId="510FE14D" w14:textId="77777777" w:rsidR="00003899" w:rsidRDefault="00003899"/>
    <w:p w14:paraId="6943174B" w14:textId="77777777" w:rsidR="00003899" w:rsidRDefault="00003899"/>
    <w:p w14:paraId="4DE18DA8" w14:textId="77777777" w:rsidR="00003899" w:rsidRDefault="00003899"/>
    <w:p w14:paraId="61045812" w14:textId="77777777" w:rsidR="00003899" w:rsidRDefault="00003899"/>
    <w:p w14:paraId="7EB395E8" w14:textId="77777777" w:rsidR="00003899" w:rsidRDefault="00003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BCBC" w14:textId="499F8545" w:rsidR="00BA2D6B" w:rsidRDefault="00E91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C0FC67" wp14:editId="0230735C">
          <wp:simplePos x="0" y="0"/>
          <wp:positionH relativeFrom="margin">
            <wp:posOffset>5134707</wp:posOffset>
          </wp:positionH>
          <wp:positionV relativeFrom="paragraph">
            <wp:posOffset>9574</wp:posOffset>
          </wp:positionV>
          <wp:extent cx="1441938" cy="484213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938" cy="48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A4E78" w14:textId="577BF62A" w:rsidR="00BA2D6B" w:rsidRDefault="00BA2D6B">
    <w:pPr>
      <w:pStyle w:val="Header"/>
    </w:pPr>
  </w:p>
  <w:p w14:paraId="0A0100BA" w14:textId="77777777" w:rsidR="00BA2D6B" w:rsidRDefault="00BA2D6B">
    <w:pPr>
      <w:pStyle w:val="Header"/>
    </w:pPr>
  </w:p>
  <w:p w14:paraId="63859CB6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17D9D45A" w14:textId="77777777" w:rsidR="00BA2D6B" w:rsidRPr="00276E72" w:rsidRDefault="00C31F19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73594">
    <w:abstractNumId w:val="3"/>
  </w:num>
  <w:num w:numId="2" w16cid:durableId="886062888">
    <w:abstractNumId w:val="2"/>
  </w:num>
  <w:num w:numId="3" w16cid:durableId="557087109">
    <w:abstractNumId w:val="1"/>
  </w:num>
  <w:num w:numId="4" w16cid:durableId="1534921721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768690386">
    <w:abstractNumId w:val="4"/>
  </w:num>
  <w:num w:numId="6" w16cid:durableId="20799821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31"/>
    <w:rsid w:val="00003899"/>
    <w:rsid w:val="000179B3"/>
    <w:rsid w:val="00020BD4"/>
    <w:rsid w:val="000243C1"/>
    <w:rsid w:val="0002557F"/>
    <w:rsid w:val="0003117B"/>
    <w:rsid w:val="000319DA"/>
    <w:rsid w:val="00031CF3"/>
    <w:rsid w:val="00051A93"/>
    <w:rsid w:val="00093E60"/>
    <w:rsid w:val="000A0B79"/>
    <w:rsid w:val="000A610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06731"/>
    <w:rsid w:val="00213A85"/>
    <w:rsid w:val="002334DE"/>
    <w:rsid w:val="00233CC3"/>
    <w:rsid w:val="00241B5E"/>
    <w:rsid w:val="00250845"/>
    <w:rsid w:val="00254F71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6F4B42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73B86"/>
    <w:rsid w:val="007825B1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A60C1"/>
    <w:rsid w:val="008A64CA"/>
    <w:rsid w:val="008B5D0A"/>
    <w:rsid w:val="008C4CC6"/>
    <w:rsid w:val="008C6F9E"/>
    <w:rsid w:val="008E0A02"/>
    <w:rsid w:val="008E102A"/>
    <w:rsid w:val="008E4DE2"/>
    <w:rsid w:val="008F12AD"/>
    <w:rsid w:val="008F3D9E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A2D6B"/>
    <w:rsid w:val="00BC7AC6"/>
    <w:rsid w:val="00C07872"/>
    <w:rsid w:val="00C31F19"/>
    <w:rsid w:val="00C41AE9"/>
    <w:rsid w:val="00C42234"/>
    <w:rsid w:val="00C536BA"/>
    <w:rsid w:val="00C84BDB"/>
    <w:rsid w:val="00C93E4D"/>
    <w:rsid w:val="00CB3B8D"/>
    <w:rsid w:val="00CB5587"/>
    <w:rsid w:val="00CC4B0C"/>
    <w:rsid w:val="00CD32BA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6C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769B4"/>
    <w:rsid w:val="00E916AA"/>
    <w:rsid w:val="00EB1F4D"/>
    <w:rsid w:val="00ED1271"/>
    <w:rsid w:val="00ED5B30"/>
    <w:rsid w:val="00EE221B"/>
    <w:rsid w:val="00EE61A4"/>
    <w:rsid w:val="00EE762D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A1BB6C"/>
  <w15:chartTrackingRefBased/>
  <w15:docId w15:val="{E2EF81C8-2654-43EE-9E47-D7C8CACB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439.FAC7809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Liver Function Tests</vt:lpstr>
    </vt:vector>
  </TitlesOfParts>
  <Company>Basildon &amp; Thurrock GHT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 Function Tests</dc:title>
  <dc:subject/>
  <dc:creator>Katherine Reade</dc:creator>
  <cp:keywords/>
  <cp:lastModifiedBy>ASTON, Kim (INTEGRATED PATHOLOGY PARTNERSHIPS LTD)</cp:lastModifiedBy>
  <cp:revision>8</cp:revision>
  <cp:lastPrinted>2013-05-21T17:03:00Z</cp:lastPrinted>
  <dcterms:created xsi:type="dcterms:W3CDTF">2021-01-26T12:29:00Z</dcterms:created>
  <dcterms:modified xsi:type="dcterms:W3CDTF">2023-10-26T11:47:00Z</dcterms:modified>
</cp:coreProperties>
</file>