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283"/>
        <w:gridCol w:w="7229"/>
      </w:tblGrid>
      <w:tr w:rsidR="009F0B13" w14:paraId="660A262A" w14:textId="77777777" w:rsidTr="00027659">
        <w:trPr>
          <w:trHeight w:val="773"/>
        </w:trPr>
        <w:tc>
          <w:tcPr>
            <w:tcW w:w="10631" w:type="dxa"/>
            <w:gridSpan w:val="4"/>
          </w:tcPr>
          <w:p w14:paraId="00AF7438" w14:textId="77777777" w:rsidR="00C27373" w:rsidRPr="00027659" w:rsidRDefault="00C27373" w:rsidP="00C27373">
            <w:pPr>
              <w:rPr>
                <w:b/>
                <w:sz w:val="36"/>
              </w:rPr>
            </w:pPr>
            <w:r w:rsidRPr="00027659">
              <w:rPr>
                <w:b/>
                <w:sz w:val="36"/>
              </w:rPr>
              <w:t>Faecal Elastase</w:t>
            </w:r>
          </w:p>
        </w:tc>
      </w:tr>
      <w:tr w:rsidR="009F0B13" w:rsidRPr="00F23565" w14:paraId="0C82CAC7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2E66FE57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Synonyms</w:t>
            </w:r>
          </w:p>
        </w:tc>
        <w:tc>
          <w:tcPr>
            <w:tcW w:w="283" w:type="dxa"/>
            <w:shd w:val="clear" w:color="auto" w:fill="auto"/>
          </w:tcPr>
          <w:p w14:paraId="40380FD2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41C3B851" w14:textId="77777777" w:rsidR="00BA2D6B" w:rsidRPr="0060596E" w:rsidRDefault="00856EA8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E1</w:t>
            </w:r>
          </w:p>
        </w:tc>
      </w:tr>
      <w:tr w:rsidR="00BA2D6B" w:rsidRPr="00F23565" w14:paraId="2764BE22" w14:textId="77777777" w:rsidTr="009F0B13">
        <w:tc>
          <w:tcPr>
            <w:tcW w:w="3119" w:type="dxa"/>
            <w:gridSpan w:val="2"/>
          </w:tcPr>
          <w:p w14:paraId="10A9F57C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Clinical Indication</w:t>
            </w:r>
          </w:p>
        </w:tc>
        <w:tc>
          <w:tcPr>
            <w:tcW w:w="283" w:type="dxa"/>
            <w:shd w:val="clear" w:color="auto" w:fill="auto"/>
          </w:tcPr>
          <w:p w14:paraId="633B4A92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74A8A98A" w14:textId="77777777" w:rsidR="00E66D74" w:rsidRDefault="00856EA8" w:rsidP="00E66D74">
            <w:pPr>
              <w:autoSpaceDE w:val="0"/>
              <w:autoSpaceDN w:val="0"/>
              <w:adjustRightInd w:val="0"/>
              <w:spacing w:before="100" w:after="100" w:line="240" w:lineRule="auto"/>
            </w:pPr>
            <w:r w:rsidRPr="00856EA8">
              <w:t xml:space="preserve">Human pancreatic elastase 1 (E1) remains undegraded during intestinal transit. </w:t>
            </w:r>
            <w:proofErr w:type="gramStart"/>
            <w:r w:rsidRPr="00856EA8">
              <w:t>Therefore</w:t>
            </w:r>
            <w:proofErr w:type="gramEnd"/>
            <w:r w:rsidRPr="00856EA8">
              <w:t xml:space="preserve"> its concentration in faeces reflects exocrine pancreatic function. The stool test quantifies E</w:t>
            </w:r>
            <w:r w:rsidR="00786244">
              <w:t xml:space="preserve">lastase </w:t>
            </w:r>
            <w:r w:rsidRPr="00856EA8">
              <w:t>1 in faeces, allowing the diagnosis or exclusion of pancreatic exocrine insufficiency which can be caused by chronic pancreatitis, cystic fibrosis, diabetes mellitus, cholelithiasis (gallstones), ‘failure to thrive’, pancreatic cancer or papillary stenosis. E</w:t>
            </w:r>
            <w:r w:rsidR="00786244">
              <w:t xml:space="preserve">lastase </w:t>
            </w:r>
            <w:r w:rsidRPr="00856EA8">
              <w:t xml:space="preserve">1 is recommended by the British Society of Gastroenterology </w:t>
            </w:r>
            <w:r w:rsidR="00E66D74">
              <w:t>as the preferred</w:t>
            </w:r>
            <w:r w:rsidR="00E66D74" w:rsidRPr="00856EA8">
              <w:t xml:space="preserve"> </w:t>
            </w:r>
            <w:r w:rsidR="00E66D74">
              <w:t xml:space="preserve">non-invasive test </w:t>
            </w:r>
            <w:r w:rsidRPr="00856EA8">
              <w:t xml:space="preserve">for </w:t>
            </w:r>
            <w:r w:rsidR="00E66D74">
              <w:t>pancreatic function testing.</w:t>
            </w:r>
          </w:p>
          <w:p w14:paraId="057CFF8F" w14:textId="77777777" w:rsidR="00C27373" w:rsidRPr="00856EA8" w:rsidRDefault="00027659" w:rsidP="00C27373">
            <w:pPr>
              <w:autoSpaceDE w:val="0"/>
              <w:autoSpaceDN w:val="0"/>
              <w:adjustRightInd w:val="0"/>
              <w:spacing w:before="100" w:after="100" w:line="240" w:lineRule="auto"/>
            </w:pPr>
            <w:r>
              <w:rPr>
                <w:rFonts w:asciiTheme="minorHAnsi" w:hAnsiTheme="minorHAnsi"/>
                <w:szCs w:val="22"/>
                <w:lang w:eastAsia="en-GB"/>
              </w:rPr>
              <w:t>Performed if r</w:t>
            </w:r>
            <w:r w:rsidR="00C27373" w:rsidRPr="00C27373">
              <w:rPr>
                <w:rFonts w:asciiTheme="minorHAnsi" w:hAnsiTheme="minorHAnsi"/>
                <w:szCs w:val="22"/>
                <w:lang w:eastAsia="en-GB"/>
              </w:rPr>
              <w:t>equested by Consultant Paediatrician/Gastroenterologist or if agreed with Consultant Biochemist.</w:t>
            </w:r>
          </w:p>
        </w:tc>
      </w:tr>
      <w:tr w:rsidR="009F0B13" w:rsidRPr="00F23565" w14:paraId="23F9DBB1" w14:textId="77777777" w:rsidTr="009F0B13">
        <w:tc>
          <w:tcPr>
            <w:tcW w:w="3119" w:type="dxa"/>
            <w:gridSpan w:val="2"/>
            <w:shd w:val="clear" w:color="auto" w:fill="D9D9D9" w:themeFill="background1" w:themeFillShade="D9"/>
          </w:tcPr>
          <w:p w14:paraId="5EDEE622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Part of Profile / See Also</w:t>
            </w:r>
          </w:p>
        </w:tc>
        <w:tc>
          <w:tcPr>
            <w:tcW w:w="283" w:type="dxa"/>
            <w:shd w:val="clear" w:color="auto" w:fill="auto"/>
          </w:tcPr>
          <w:p w14:paraId="282F80A4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4166E8B2" w14:textId="77777777" w:rsidR="00BA2D6B" w:rsidRPr="0060596E" w:rsidRDefault="00BA2D6B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</w:p>
        </w:tc>
      </w:tr>
      <w:tr w:rsidR="00BA2D6B" w:rsidRPr="00F23565" w14:paraId="388FDDF5" w14:textId="77777777" w:rsidTr="009F0B13">
        <w:tc>
          <w:tcPr>
            <w:tcW w:w="3119" w:type="dxa"/>
            <w:gridSpan w:val="2"/>
          </w:tcPr>
          <w:p w14:paraId="436DE5C6" w14:textId="77777777" w:rsidR="00BA2D6B" w:rsidRPr="00276E72" w:rsidRDefault="00233CC3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Request F</w:t>
            </w:r>
            <w:r w:rsidR="00BA2D6B" w:rsidRPr="00276E7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</w:t>
            </w:r>
            <w:r w:rsidR="00BA2D6B" w:rsidRPr="00276E72">
              <w:rPr>
                <w:b/>
                <w:sz w:val="24"/>
              </w:rPr>
              <w:t>m</w:t>
            </w:r>
          </w:p>
        </w:tc>
        <w:tc>
          <w:tcPr>
            <w:tcW w:w="283" w:type="dxa"/>
            <w:shd w:val="clear" w:color="auto" w:fill="auto"/>
          </w:tcPr>
          <w:p w14:paraId="6A14B9EA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82D2FCF" w14:textId="77777777" w:rsidR="00BA2D6B" w:rsidRPr="0060596E" w:rsidRDefault="00C27373" w:rsidP="0002765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C27373">
              <w:rPr>
                <w:rFonts w:asciiTheme="minorHAnsi" w:hAnsiTheme="minorHAnsi"/>
                <w:szCs w:val="22"/>
                <w:lang w:eastAsia="en-GB"/>
              </w:rPr>
              <w:t xml:space="preserve">Combined Pathology </w:t>
            </w:r>
            <w:r w:rsidR="00027659">
              <w:rPr>
                <w:rFonts w:asciiTheme="minorHAnsi" w:hAnsiTheme="minorHAnsi"/>
                <w:szCs w:val="22"/>
                <w:lang w:eastAsia="en-GB"/>
              </w:rPr>
              <w:t xml:space="preserve">manual </w:t>
            </w:r>
            <w:r w:rsidRPr="00C27373">
              <w:rPr>
                <w:rFonts w:asciiTheme="minorHAnsi" w:hAnsiTheme="minorHAnsi"/>
                <w:szCs w:val="22"/>
                <w:lang w:eastAsia="en-GB"/>
              </w:rPr>
              <w:t>Blood form</w:t>
            </w:r>
            <w:r w:rsidR="00027659">
              <w:rPr>
                <w:rFonts w:asciiTheme="minorHAnsi" w:hAnsiTheme="minorHAnsi"/>
                <w:szCs w:val="22"/>
                <w:lang w:eastAsia="en-GB"/>
              </w:rPr>
              <w:t xml:space="preserve"> or ICE request</w:t>
            </w:r>
          </w:p>
        </w:tc>
      </w:tr>
      <w:tr w:rsidR="00BA2D6B" w:rsidRPr="00F23565" w14:paraId="358ECDA2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0242DDF8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/ Frequency of Analysis</w:t>
            </w:r>
          </w:p>
        </w:tc>
        <w:tc>
          <w:tcPr>
            <w:tcW w:w="283" w:type="dxa"/>
            <w:shd w:val="clear" w:color="auto" w:fill="auto"/>
          </w:tcPr>
          <w:p w14:paraId="5A4A1E07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686ECF74" w14:textId="470B48BB" w:rsidR="00BA2D6B" w:rsidRPr="0063431F" w:rsidRDefault="0063431F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color w:val="0070C0"/>
                <w:szCs w:val="22"/>
                <w:lang w:eastAsia="en-GB"/>
              </w:rPr>
            </w:pPr>
            <w:r w:rsidRPr="0063431F">
              <w:rPr>
                <w:rFonts w:asciiTheme="minorHAnsi" w:hAnsiTheme="minorHAnsi"/>
                <w:color w:val="0070C0"/>
                <w:szCs w:val="22"/>
                <w:lang w:eastAsia="en-GB"/>
              </w:rPr>
              <w:t>Analysed on request.</w:t>
            </w:r>
          </w:p>
          <w:p w14:paraId="7E198EF8" w14:textId="77777777" w:rsidR="00D752F9" w:rsidRPr="0060596E" w:rsidRDefault="00D752F9" w:rsidP="00BA2D6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  <w:t>Minimum retesting interval is 6 months.</w:t>
            </w:r>
          </w:p>
        </w:tc>
      </w:tr>
      <w:tr w:rsidR="00BA2D6B" w:rsidRPr="00F23565" w14:paraId="37DFF0A1" w14:textId="77777777" w:rsidTr="00BA2D6B">
        <w:tc>
          <w:tcPr>
            <w:tcW w:w="3119" w:type="dxa"/>
            <w:gridSpan w:val="2"/>
          </w:tcPr>
          <w:p w14:paraId="42739E56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Turnaround Time</w:t>
            </w:r>
          </w:p>
        </w:tc>
        <w:tc>
          <w:tcPr>
            <w:tcW w:w="283" w:type="dxa"/>
            <w:shd w:val="clear" w:color="auto" w:fill="auto"/>
          </w:tcPr>
          <w:p w14:paraId="688E24F4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02C8B12" w14:textId="641BFEE8" w:rsidR="00BA2D6B" w:rsidRPr="0060596E" w:rsidRDefault="0063431F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63431F">
              <w:rPr>
                <w:rFonts w:asciiTheme="minorHAnsi" w:hAnsiTheme="minorHAnsi"/>
                <w:color w:val="0070C0"/>
                <w:szCs w:val="22"/>
              </w:rPr>
              <w:t>7 days</w:t>
            </w:r>
          </w:p>
        </w:tc>
      </w:tr>
      <w:tr w:rsidR="00BA2D6B" w:rsidRPr="00F23565" w14:paraId="59254928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251F2815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Patient Preparation</w:t>
            </w:r>
          </w:p>
        </w:tc>
        <w:tc>
          <w:tcPr>
            <w:tcW w:w="283" w:type="dxa"/>
            <w:shd w:val="clear" w:color="auto" w:fill="auto"/>
          </w:tcPr>
          <w:p w14:paraId="37516E11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49F8641B" w14:textId="77777777" w:rsidR="00BA2D6B" w:rsidRPr="0060596E" w:rsidRDefault="00C27373" w:rsidP="00C27373">
            <w:pPr>
              <w:pStyle w:val="NoSpacing"/>
            </w:pPr>
            <w:r w:rsidRPr="00C27373">
              <w:t xml:space="preserve">The assay is highly specific for human pancreatic </w:t>
            </w:r>
            <w:proofErr w:type="gramStart"/>
            <w:r w:rsidRPr="00C27373">
              <w:t>E1</w:t>
            </w:r>
            <w:proofErr w:type="gramEnd"/>
            <w:r w:rsidRPr="00C27373">
              <w:t xml:space="preserve"> and patients do not need to stop taking pancreatic supplements before assessment of pancreatic exocrine function</w:t>
            </w:r>
          </w:p>
        </w:tc>
      </w:tr>
      <w:tr w:rsidR="00BA2D6B" w:rsidRPr="00F23565" w14:paraId="55B84E9A" w14:textId="77777777" w:rsidTr="00BA2D6B">
        <w:tc>
          <w:tcPr>
            <w:tcW w:w="3119" w:type="dxa"/>
            <w:gridSpan w:val="2"/>
          </w:tcPr>
          <w:p w14:paraId="06746C36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Sample Requirements</w:t>
            </w:r>
          </w:p>
        </w:tc>
        <w:tc>
          <w:tcPr>
            <w:tcW w:w="283" w:type="dxa"/>
            <w:shd w:val="clear" w:color="auto" w:fill="auto"/>
          </w:tcPr>
          <w:p w14:paraId="3B67FD94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1F77E5D1" w14:textId="2D79696A" w:rsidR="00BA2D6B" w:rsidRPr="0063431F" w:rsidRDefault="0063431F" w:rsidP="004F3E2E">
            <w:pPr>
              <w:spacing w:line="360" w:lineRule="auto"/>
              <w:rPr>
                <w:rFonts w:asciiTheme="minorHAnsi" w:hAnsiTheme="minorHAnsi"/>
                <w:color w:val="0070C0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Sample MUST be received in the laboratory within 3 days of collection.</w:t>
            </w:r>
          </w:p>
        </w:tc>
      </w:tr>
      <w:tr w:rsidR="00BA2D6B" w:rsidRPr="00F23565" w14:paraId="7AE26123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1AAC5552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Specimen</w:t>
            </w:r>
            <w:r w:rsidRPr="00276E72">
              <w:rPr>
                <w:b/>
                <w:sz w:val="24"/>
              </w:rPr>
              <w:t xml:space="preserve"> Type</w:t>
            </w:r>
          </w:p>
        </w:tc>
        <w:tc>
          <w:tcPr>
            <w:tcW w:w="283" w:type="dxa"/>
            <w:shd w:val="clear" w:color="auto" w:fill="auto"/>
          </w:tcPr>
          <w:p w14:paraId="6051E96D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4174F51B" w14:textId="77777777" w:rsidR="00C27373" w:rsidRPr="00C27373" w:rsidRDefault="00C27373" w:rsidP="00C27373">
            <w:pPr>
              <w:pStyle w:val="NoSpacing"/>
            </w:pPr>
            <w:r w:rsidRPr="00C27373">
              <w:t>Random faecal sample.</w:t>
            </w:r>
          </w:p>
          <w:p w14:paraId="3EEBE5F9" w14:textId="35674855" w:rsidR="00BA2D6B" w:rsidRPr="0060596E" w:rsidRDefault="00C27373" w:rsidP="00C27373">
            <w:pPr>
              <w:pStyle w:val="NoSpacing"/>
            </w:pPr>
            <w:r w:rsidRPr="00C27373">
              <w:t xml:space="preserve">Please note that if faecal calprotectin is also requested </w:t>
            </w:r>
            <w:r w:rsidRPr="0063431F">
              <w:rPr>
                <w:color w:val="0070C0"/>
              </w:rPr>
              <w:t>a separate sample is</w:t>
            </w:r>
            <w:r w:rsidR="0063431F" w:rsidRPr="0063431F">
              <w:rPr>
                <w:color w:val="0070C0"/>
              </w:rPr>
              <w:t xml:space="preserve"> not</w:t>
            </w:r>
            <w:r w:rsidRPr="0063431F">
              <w:rPr>
                <w:color w:val="0070C0"/>
              </w:rPr>
              <w:t xml:space="preserve"> required.</w:t>
            </w:r>
          </w:p>
        </w:tc>
      </w:tr>
      <w:tr w:rsidR="00BA2D6B" w:rsidRPr="00F23565" w14:paraId="3A5E0A87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59B57A31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Volume</w:t>
            </w:r>
          </w:p>
        </w:tc>
        <w:tc>
          <w:tcPr>
            <w:tcW w:w="283" w:type="dxa"/>
            <w:shd w:val="clear" w:color="auto" w:fill="auto"/>
          </w:tcPr>
          <w:p w14:paraId="221D9B05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64D0D3E6" w14:textId="77777777" w:rsidR="00BA2D6B" w:rsidRPr="0060596E" w:rsidRDefault="00856EA8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1g</w:t>
            </w:r>
          </w:p>
        </w:tc>
      </w:tr>
      <w:tr w:rsidR="00BA2D6B" w:rsidRPr="00F23565" w14:paraId="11285374" w14:textId="77777777" w:rsidTr="00BA2D6B">
        <w:trPr>
          <w:gridBefore w:val="1"/>
          <w:wBefore w:w="284" w:type="dxa"/>
        </w:trPr>
        <w:tc>
          <w:tcPr>
            <w:tcW w:w="2835" w:type="dxa"/>
          </w:tcPr>
          <w:p w14:paraId="44C6AD11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Container</w:t>
            </w:r>
          </w:p>
        </w:tc>
        <w:tc>
          <w:tcPr>
            <w:tcW w:w="283" w:type="dxa"/>
            <w:shd w:val="clear" w:color="auto" w:fill="auto"/>
          </w:tcPr>
          <w:p w14:paraId="14EA3EB8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7974CEA4" w14:textId="77777777" w:rsidR="00386207" w:rsidRPr="0060596E" w:rsidRDefault="00C27373" w:rsidP="00386207">
            <w:pPr>
              <w:tabs>
                <w:tab w:val="left" w:pos="3705"/>
              </w:tabs>
              <w:autoSpaceDE w:val="0"/>
              <w:autoSpaceDN w:val="0"/>
              <w:adjustRightInd w:val="0"/>
              <w:spacing w:before="100" w:after="100" w:line="240" w:lineRule="auto"/>
              <w:rPr>
                <w:rFonts w:asciiTheme="minorHAnsi" w:hAnsiTheme="minorHAnsi"/>
                <w:szCs w:val="22"/>
                <w:lang w:eastAsia="en-GB"/>
              </w:rPr>
            </w:pPr>
            <w:r w:rsidRPr="00C27373">
              <w:rPr>
                <w:rFonts w:asciiTheme="minorHAnsi" w:hAnsiTheme="minorHAnsi"/>
                <w:szCs w:val="22"/>
                <w:lang w:eastAsia="en-GB"/>
              </w:rPr>
              <w:t>Blue Capped Universal</w:t>
            </w:r>
            <w:r w:rsidR="0015285F">
              <w:rPr>
                <w:rFonts w:asciiTheme="minorHAnsi" w:hAnsiTheme="minorHAnsi"/>
                <w:szCs w:val="22"/>
                <w:lang w:eastAsia="en-GB"/>
              </w:rPr>
              <w:t xml:space="preserve"> or White Capped Universal </w:t>
            </w:r>
          </w:p>
        </w:tc>
      </w:tr>
      <w:tr w:rsidR="00BA2D6B" w:rsidRPr="00F23565" w14:paraId="3F2A3860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531655F1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 R</w:t>
            </w:r>
            <w:r w:rsidRPr="00276E72">
              <w:rPr>
                <w:b/>
                <w:sz w:val="24"/>
              </w:rPr>
              <w:t xml:space="preserve">ange </w:t>
            </w:r>
            <w:r>
              <w:rPr>
                <w:b/>
                <w:sz w:val="24"/>
              </w:rPr>
              <w:t>&amp;</w:t>
            </w:r>
            <w:r w:rsidRPr="00276E72">
              <w:rPr>
                <w:b/>
                <w:sz w:val="24"/>
              </w:rPr>
              <w:t xml:space="preserve"> Units</w:t>
            </w:r>
          </w:p>
        </w:tc>
        <w:tc>
          <w:tcPr>
            <w:tcW w:w="283" w:type="dxa"/>
            <w:shd w:val="clear" w:color="auto" w:fill="auto"/>
          </w:tcPr>
          <w:p w14:paraId="1AEBDF5C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5AFBB869" w14:textId="4AC3C2F5" w:rsidR="00C27373" w:rsidRPr="0063431F" w:rsidRDefault="0063431F" w:rsidP="00C27373">
            <w:pPr>
              <w:pStyle w:val="NoSpacing"/>
              <w:rPr>
                <w:color w:val="0070C0"/>
                <w:lang w:eastAsia="en-GB"/>
              </w:rPr>
            </w:pPr>
            <w:r>
              <w:rPr>
                <w:color w:val="0070C0"/>
                <w:lang w:eastAsia="en-GB"/>
              </w:rPr>
              <w:t>ug/g</w:t>
            </w:r>
          </w:p>
          <w:p w14:paraId="41BB07E2" w14:textId="42DB83E3" w:rsidR="00BA2D6B" w:rsidRPr="0060596E" w:rsidRDefault="00BA2D6B" w:rsidP="00C27373">
            <w:pPr>
              <w:pStyle w:val="NoSpacing"/>
              <w:rPr>
                <w:lang w:eastAsia="en-GB"/>
              </w:rPr>
            </w:pPr>
          </w:p>
        </w:tc>
      </w:tr>
      <w:tr w:rsidR="00BA2D6B" w:rsidRPr="00F23565" w14:paraId="7ACD4D6C" w14:textId="77777777" w:rsidTr="00BA2D6B">
        <w:tc>
          <w:tcPr>
            <w:tcW w:w="3119" w:type="dxa"/>
            <w:gridSpan w:val="2"/>
          </w:tcPr>
          <w:p w14:paraId="51C19B75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Interferences</w:t>
            </w:r>
          </w:p>
        </w:tc>
        <w:tc>
          <w:tcPr>
            <w:tcW w:w="283" w:type="dxa"/>
            <w:shd w:val="clear" w:color="auto" w:fill="auto"/>
          </w:tcPr>
          <w:p w14:paraId="0B75B684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DE7A5B8" w14:textId="77777777" w:rsidR="00BA2D6B" w:rsidRPr="0060596E" w:rsidRDefault="001A35B3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Samples grossly contaminated with blood and/or fibrous material, hard stools, mucous samples, neonatal </w:t>
            </w:r>
            <w:proofErr w:type="gramStart"/>
            <w:r>
              <w:rPr>
                <w:rFonts w:asciiTheme="minorHAnsi" w:hAnsiTheme="minorHAnsi"/>
                <w:szCs w:val="22"/>
              </w:rPr>
              <w:t>samples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and watery samples are unsuitable for analysis.</w:t>
            </w:r>
          </w:p>
        </w:tc>
      </w:tr>
      <w:tr w:rsidR="00BA2D6B" w:rsidRPr="00F23565" w14:paraId="1ED7CD86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31201050" w14:textId="77777777" w:rsidR="00BA2D6B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 xml:space="preserve">Interpretation &amp; Clinical </w:t>
            </w:r>
          </w:p>
          <w:p w14:paraId="361E8C14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Decision Value (if applicable)</w:t>
            </w:r>
          </w:p>
        </w:tc>
        <w:tc>
          <w:tcPr>
            <w:tcW w:w="283" w:type="dxa"/>
            <w:shd w:val="clear" w:color="auto" w:fill="auto"/>
          </w:tcPr>
          <w:p w14:paraId="4CF0ABE3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0E511F1D" w14:textId="77777777" w:rsidR="0063431F" w:rsidRPr="0063431F" w:rsidRDefault="0063431F" w:rsidP="0063431F">
            <w:pPr>
              <w:pStyle w:val="NoSpacing"/>
              <w:rPr>
                <w:color w:val="0070C0"/>
                <w:lang w:eastAsia="en-GB"/>
              </w:rPr>
            </w:pPr>
            <w:r>
              <w:rPr>
                <w:color w:val="0070C0"/>
                <w:lang w:eastAsia="en-GB"/>
              </w:rPr>
              <w:t>200 to &gt;500 ug/g: Normal pancreatic function</w:t>
            </w:r>
          </w:p>
          <w:p w14:paraId="59235E25" w14:textId="77777777" w:rsidR="0063431F" w:rsidRPr="00C27373" w:rsidRDefault="0063431F" w:rsidP="0063431F">
            <w:pPr>
              <w:pStyle w:val="NoSpacing"/>
              <w:rPr>
                <w:lang w:eastAsia="en-GB"/>
              </w:rPr>
            </w:pPr>
          </w:p>
          <w:p w14:paraId="47FF0E63" w14:textId="531B0B22" w:rsidR="00BA2D6B" w:rsidRPr="0063431F" w:rsidRDefault="0063431F" w:rsidP="0063431F">
            <w:pPr>
              <w:pStyle w:val="NoSpacing"/>
              <w:rPr>
                <w:color w:val="0070C0"/>
                <w:lang w:eastAsia="en-GB"/>
              </w:rPr>
            </w:pPr>
            <w:r w:rsidRPr="0063431F">
              <w:rPr>
                <w:color w:val="0070C0"/>
                <w:lang w:eastAsia="en-GB"/>
              </w:rPr>
              <w:t>&lt;200 ug/g: Pancreatic insufficiency.</w:t>
            </w:r>
          </w:p>
        </w:tc>
      </w:tr>
      <w:tr w:rsidR="00BA2D6B" w:rsidRPr="00F23565" w14:paraId="418A4814" w14:textId="77777777" w:rsidTr="00BA2D6B">
        <w:tc>
          <w:tcPr>
            <w:tcW w:w="3119" w:type="dxa"/>
            <w:gridSpan w:val="2"/>
          </w:tcPr>
          <w:p w14:paraId="57F45430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 w:rsidRPr="00276E72">
              <w:rPr>
                <w:b/>
                <w:sz w:val="24"/>
              </w:rPr>
              <w:t>References</w:t>
            </w:r>
          </w:p>
        </w:tc>
        <w:tc>
          <w:tcPr>
            <w:tcW w:w="283" w:type="dxa"/>
            <w:shd w:val="clear" w:color="auto" w:fill="auto"/>
          </w:tcPr>
          <w:p w14:paraId="534E8C5A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</w:tcPr>
          <w:p w14:paraId="3A8954E2" w14:textId="77777777" w:rsidR="00E66D74" w:rsidRPr="0060596E" w:rsidRDefault="00E66D74" w:rsidP="00E66D74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 w:rsidRPr="00E66D74">
              <w:rPr>
                <w:rFonts w:asciiTheme="minorHAnsi" w:hAnsiTheme="minorHAnsi"/>
                <w:szCs w:val="22"/>
              </w:rPr>
              <w:t>Guidelines for the investigation of chronic diarrhoea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E66D74">
              <w:rPr>
                <w:rFonts w:asciiTheme="minorHAnsi" w:hAnsiTheme="minorHAnsi"/>
                <w:szCs w:val="22"/>
              </w:rPr>
              <w:t>in adults: British Society of Gastroenterology,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E66D74">
              <w:rPr>
                <w:rFonts w:asciiTheme="minorHAnsi" w:hAnsiTheme="minorHAnsi"/>
                <w:szCs w:val="22"/>
              </w:rPr>
              <w:t>3rd edition</w:t>
            </w:r>
            <w:r>
              <w:rPr>
                <w:rFonts w:asciiTheme="minorHAnsi" w:hAnsiTheme="minorHAnsi"/>
                <w:szCs w:val="22"/>
              </w:rPr>
              <w:t xml:space="preserve"> 2018.</w:t>
            </w:r>
          </w:p>
        </w:tc>
      </w:tr>
      <w:tr w:rsidR="00BA2D6B" w:rsidRPr="00F23565" w14:paraId="00B85F1B" w14:textId="77777777" w:rsidTr="00BA2D6B">
        <w:tc>
          <w:tcPr>
            <w:tcW w:w="3119" w:type="dxa"/>
            <w:gridSpan w:val="2"/>
            <w:shd w:val="clear" w:color="auto" w:fill="D9D9D9" w:themeFill="background1" w:themeFillShade="D9"/>
          </w:tcPr>
          <w:p w14:paraId="70FC0945" w14:textId="77777777" w:rsidR="00BA2D6B" w:rsidRPr="00276E72" w:rsidRDefault="00BA2D6B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Test code</w:t>
            </w:r>
          </w:p>
        </w:tc>
        <w:tc>
          <w:tcPr>
            <w:tcW w:w="283" w:type="dxa"/>
            <w:shd w:val="clear" w:color="auto" w:fill="auto"/>
          </w:tcPr>
          <w:p w14:paraId="0FFC8C63" w14:textId="77777777" w:rsidR="00BA2D6B" w:rsidRDefault="00BA2D6B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66A2703A" w14:textId="77777777" w:rsidR="00BA2D6B" w:rsidRPr="0060596E" w:rsidRDefault="0015285F" w:rsidP="004F3E2E">
            <w:pPr>
              <w:spacing w:line="360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FELA</w:t>
            </w:r>
          </w:p>
        </w:tc>
      </w:tr>
      <w:tr w:rsidR="00EE61A4" w:rsidRPr="00F23565" w14:paraId="033E495D" w14:textId="77777777" w:rsidTr="00EE61A4">
        <w:tc>
          <w:tcPr>
            <w:tcW w:w="3119" w:type="dxa"/>
            <w:gridSpan w:val="2"/>
            <w:shd w:val="clear" w:color="auto" w:fill="auto"/>
          </w:tcPr>
          <w:p w14:paraId="3C252FDA" w14:textId="77777777" w:rsidR="00EE61A4" w:rsidRDefault="00EE61A4" w:rsidP="004F3E2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Lab Handling</w:t>
            </w:r>
          </w:p>
        </w:tc>
        <w:tc>
          <w:tcPr>
            <w:tcW w:w="283" w:type="dxa"/>
            <w:shd w:val="clear" w:color="auto" w:fill="auto"/>
          </w:tcPr>
          <w:p w14:paraId="79A99C01" w14:textId="77777777" w:rsidR="00EE61A4" w:rsidRDefault="00EE61A4" w:rsidP="004F3E2E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14:paraId="7AD2C78C" w14:textId="47096A1A" w:rsidR="00EE61A4" w:rsidRPr="0060596E" w:rsidRDefault="0063431F" w:rsidP="00027659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color w:val="0070C0"/>
                <w:szCs w:val="22"/>
              </w:rPr>
              <w:t>Store sample at 4</w:t>
            </w:r>
            <w:r>
              <w:rPr>
                <w:rFonts w:asciiTheme="minorHAnsi" w:hAnsiTheme="minorHAnsi" w:cstheme="minorHAnsi"/>
                <w:color w:val="0070C0"/>
                <w:szCs w:val="22"/>
              </w:rPr>
              <w:t>°</w:t>
            </w:r>
            <w:r>
              <w:rPr>
                <w:rFonts w:asciiTheme="minorHAnsi" w:hAnsiTheme="minorHAnsi"/>
                <w:color w:val="0070C0"/>
                <w:szCs w:val="22"/>
              </w:rPr>
              <w:t>C upon receipt. Sample must be extracted for analysis within 3 days of receipt in the laboratory.</w:t>
            </w:r>
            <w:r w:rsidR="001A35B3" w:rsidRPr="0063431F">
              <w:rPr>
                <w:rFonts w:asciiTheme="minorHAnsi" w:hAnsiTheme="minorHAnsi"/>
                <w:color w:val="0070C0"/>
                <w:szCs w:val="22"/>
              </w:rPr>
              <w:t xml:space="preserve"> </w:t>
            </w:r>
          </w:p>
        </w:tc>
      </w:tr>
    </w:tbl>
    <w:p w14:paraId="07911FDF" w14:textId="4972837A" w:rsidR="000319DA" w:rsidRPr="000319DA" w:rsidRDefault="000870E3" w:rsidP="00EE61A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ACE97" wp14:editId="1130D52F">
                <wp:simplePos x="0" y="0"/>
                <wp:positionH relativeFrom="column">
                  <wp:posOffset>1845310</wp:posOffset>
                </wp:positionH>
                <wp:positionV relativeFrom="paragraph">
                  <wp:posOffset>-9798050</wp:posOffset>
                </wp:positionV>
                <wp:extent cx="1019175" cy="1247775"/>
                <wp:effectExtent l="0" t="0" r="28575" b="28575"/>
                <wp:wrapNone/>
                <wp:docPr id="20016638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593DB" w14:textId="4F125FAA" w:rsidR="000870E3" w:rsidRDefault="000870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ECD9E6" wp14:editId="2F6FF791">
                                  <wp:extent cx="694690" cy="1149985"/>
                                  <wp:effectExtent l="0" t="0" r="0" b="0"/>
                                  <wp:docPr id="79235805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2358057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690" cy="1149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2ACE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3pt;margin-top:-771.5pt;width:80.25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UdOAIAAH0EAAAOAAAAZHJzL2Uyb0RvYy54bWysVE1v2zAMvQ/YfxB0X2xnSdMGcYosRYYB&#10;QVsgHXpWZCk2JouapMTOfv0o2flot9Owi0Ka1BP5+JjZfVsrchDWVaBzmg1SSoTmUFR6l9PvL6tP&#10;t5Q4z3TBFGiR06Nw9H7+8cOsMVMxhBJUISxBEO2mjclp6b2ZJonjpaiZG4ARGoMSbM08unaXFJY1&#10;iF6rZJimN0kDtjAWuHAOvz50QTqP+FIK7p+kdMITlVOszcfTxnMbzmQ+Y9OdZaaseF8G+4cqalZp&#10;fPQM9cA8I3tb/QFVV9yCA+kHHOoEpKy4iD1gN1n6rptNyYyIvSA5zpxpcv8Plj8eNubZEt9+gRYH&#10;GAhpjJs6/Bj6aaWtwy9WSjCOFB7PtInWEx4updldNhlTwjGWDUeTCTqIk1yuG+v8VwE1CUZOLc4l&#10;0sUOa+e71FNKeM2BqopVpVR0ghbEUllyYDhF5WORCP4mS2nS5PTm8ziNwG9iAfp8f6sY/9GXd5WF&#10;eEpjzZfmg+XbbdszsoXiiERZ6DTkDF9ViLtmzj8zi6JBbnAR/BMeUgEWA71FSQn219++h3ycJUYp&#10;aVCEOXU/98wKStQ3jVO+y0ajoNrojMaTITr2OrK9juh9vQRkKMOVMzyaId+rkykt1K+4L4vwKoaY&#10;5vh2Tv3JXPpuNXDfuFgsYhLq1DC/1hvDA3SYSODzpX1l1vTz9CiFRzjJlU3fjbXLDTc1LPYeZBVn&#10;HgjuWO15R41H1fT7GJbo2o9Zl3+N+W8AAAD//wMAUEsDBBQABgAIAAAAIQDx8to64gAAAA8BAAAP&#10;AAAAZHJzL2Rvd25yZXYueG1sTI+xTsMwEIZ3JN7BOiS21kmbRGmIUwEqXZgoiNmNXdsiPke2m4a3&#10;x53KeHef/vv+djvbgUzSB+OQQb7MgEjsnTCoGHx9vi1qICFyFHxwKBn8ygDb7v6u5Y1wF/yQ0yEq&#10;kkIwNJyBjnFsKA29lpaHpRslptvJectjGr2iwvNLCrcDXWVZRS03mD5oPspXLfufw9ky2L2ojepr&#10;7vWuFsZM8/fpXe0Ze3yYn5+ARDnHGwxX/aQOXXI6ujOKQAYGq01WJZTBIi+LdaqVmKLMcyDH625d&#10;VCXQrqX/e3R/AAAA//8DAFBLAQItABQABgAIAAAAIQC2gziS/gAAAOEBAAATAAAAAAAAAAAAAAAA&#10;AAAAAABbQ29udGVudF9UeXBlc10ueG1sUEsBAi0AFAAGAAgAAAAhADj9If/WAAAAlAEAAAsAAAAA&#10;AAAAAAAAAAAALwEAAF9yZWxzLy5yZWxzUEsBAi0AFAAGAAgAAAAhAMZbpR04AgAAfQQAAA4AAAAA&#10;AAAAAAAAAAAALgIAAGRycy9lMm9Eb2MueG1sUEsBAi0AFAAGAAgAAAAhAPHy2jriAAAADwEAAA8A&#10;AAAAAAAAAAAAAAAAkgQAAGRycy9kb3ducmV2LnhtbFBLBQYAAAAABAAEAPMAAAChBQAAAAA=&#10;" fillcolor="white [3201]" strokeweight=".5pt">
                <v:textbox>
                  <w:txbxContent>
                    <w:p w14:paraId="060593DB" w14:textId="4F125FAA" w:rsidR="000870E3" w:rsidRDefault="000870E3">
                      <w:r>
                        <w:rPr>
                          <w:noProof/>
                        </w:rPr>
                        <w:drawing>
                          <wp:inline distT="0" distB="0" distL="0" distR="0" wp14:anchorId="0EECD9E6" wp14:editId="2F6FF791">
                            <wp:extent cx="694690" cy="1149985"/>
                            <wp:effectExtent l="0" t="0" r="0" b="0"/>
                            <wp:docPr id="79235805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2358057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4690" cy="1149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319DA" w:rsidRPr="000319DA" w:rsidSect="000319DA">
      <w:headerReference w:type="default" r:id="rId8"/>
      <w:footerReference w:type="default" r:id="rId9"/>
      <w:pgSz w:w="11907" w:h="16840" w:code="9"/>
      <w:pgMar w:top="1560" w:right="856" w:bottom="709" w:left="754" w:header="284" w:footer="299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4CED" w14:textId="77777777" w:rsidR="00A506DF" w:rsidRDefault="00A506DF">
      <w:r>
        <w:separator/>
      </w:r>
    </w:p>
    <w:p w14:paraId="5D01C5C9" w14:textId="77777777" w:rsidR="00A506DF" w:rsidRDefault="00A506DF"/>
    <w:p w14:paraId="280D97DF" w14:textId="77777777" w:rsidR="00A506DF" w:rsidRDefault="00A506DF"/>
    <w:p w14:paraId="2C881669" w14:textId="77777777" w:rsidR="00A506DF" w:rsidRDefault="00A506DF"/>
    <w:p w14:paraId="7BD09029" w14:textId="77777777" w:rsidR="00A506DF" w:rsidRDefault="00A506DF"/>
    <w:p w14:paraId="0B3762D1" w14:textId="77777777" w:rsidR="00A506DF" w:rsidRDefault="00A506DF"/>
    <w:p w14:paraId="66D6B162" w14:textId="77777777" w:rsidR="00A506DF" w:rsidRDefault="00A506DF"/>
    <w:p w14:paraId="555FE50D" w14:textId="77777777" w:rsidR="00A506DF" w:rsidRDefault="00A506DF"/>
    <w:p w14:paraId="5AE30581" w14:textId="77777777" w:rsidR="00A506DF" w:rsidRDefault="00A506DF"/>
  </w:endnote>
  <w:endnote w:type="continuationSeparator" w:id="0">
    <w:p w14:paraId="6ED8CB58" w14:textId="77777777" w:rsidR="00A506DF" w:rsidRDefault="00A506DF">
      <w:r>
        <w:continuationSeparator/>
      </w:r>
    </w:p>
    <w:p w14:paraId="0DFDE4E9" w14:textId="77777777" w:rsidR="00A506DF" w:rsidRDefault="00A506DF"/>
    <w:p w14:paraId="60436E86" w14:textId="77777777" w:rsidR="00A506DF" w:rsidRDefault="00A506DF"/>
    <w:p w14:paraId="15F3E725" w14:textId="77777777" w:rsidR="00A506DF" w:rsidRDefault="00A506DF"/>
    <w:p w14:paraId="48F72F76" w14:textId="77777777" w:rsidR="00A506DF" w:rsidRDefault="00A506DF"/>
    <w:p w14:paraId="4DE4A479" w14:textId="77777777" w:rsidR="00A506DF" w:rsidRDefault="00A506DF"/>
    <w:p w14:paraId="5786914B" w14:textId="77777777" w:rsidR="00A506DF" w:rsidRDefault="00A506DF"/>
    <w:p w14:paraId="6080D431" w14:textId="77777777" w:rsidR="00A506DF" w:rsidRDefault="00A506DF"/>
    <w:p w14:paraId="495955DC" w14:textId="77777777" w:rsidR="00A506DF" w:rsidRDefault="00A50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20DB" w14:textId="77777777" w:rsidR="00856EA8" w:rsidRPr="007825B1" w:rsidRDefault="00856EA8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2"/>
        <w:szCs w:val="10"/>
      </w:rPr>
    </w:pPr>
  </w:p>
  <w:p w14:paraId="345B3020" w14:textId="3CBE7BD2" w:rsidR="00856EA8" w:rsidRPr="008D286B" w:rsidRDefault="00442BE2">
    <w:pPr>
      <w:pStyle w:val="Footer"/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lear" w:pos="8640"/>
        <w:tab w:val="right" w:pos="10270"/>
      </w:tabs>
      <w:rPr>
        <w:b/>
        <w:bCs/>
        <w:sz w:val="16"/>
      </w:rPr>
    </w:pPr>
    <w:r>
      <w:rPr>
        <w:b/>
        <w:bCs/>
        <w:sz w:val="16"/>
      </w:rPr>
      <w:t>Version 1.</w:t>
    </w:r>
    <w:r w:rsidR="0063431F">
      <w:rPr>
        <w:b/>
        <w:bCs/>
        <w:sz w:val="16"/>
      </w:rPr>
      <w:t>4</w:t>
    </w:r>
    <w:r w:rsidR="00856EA8" w:rsidRPr="00276E72">
      <w:rPr>
        <w:b/>
        <w:bCs/>
        <w:sz w:val="16"/>
      </w:rPr>
      <w:t xml:space="preserve"> / </w:t>
    </w:r>
    <w:r w:rsidR="007438C4">
      <w:rPr>
        <w:b/>
        <w:bCs/>
        <w:sz w:val="16"/>
      </w:rPr>
      <w:t>Sept</w:t>
    </w:r>
    <w:r>
      <w:rPr>
        <w:b/>
        <w:bCs/>
        <w:sz w:val="16"/>
      </w:rPr>
      <w:t>ember</w:t>
    </w:r>
    <w:r w:rsidR="00215ED3">
      <w:rPr>
        <w:b/>
        <w:bCs/>
        <w:sz w:val="16"/>
      </w:rPr>
      <w:t xml:space="preserve"> 202</w:t>
    </w:r>
    <w:r w:rsidR="0063431F">
      <w:rPr>
        <w:b/>
        <w:bCs/>
        <w:sz w:val="16"/>
      </w:rPr>
      <w:t>4</w:t>
    </w:r>
    <w:r w:rsidR="00856EA8" w:rsidRPr="00276E72">
      <w:rPr>
        <w:b/>
        <w:bCs/>
        <w:sz w:val="16"/>
      </w:rPr>
      <w:ptab w:relativeTo="margin" w:alignment="center" w:leader="none"/>
    </w:r>
    <w:r w:rsidR="00856EA8">
      <w:rPr>
        <w:b/>
        <w:bCs/>
        <w:sz w:val="16"/>
      </w:rPr>
      <w:t>Approved by: Consultant Biochemist</w:t>
    </w:r>
    <w:r w:rsidR="00856EA8" w:rsidRPr="00276E72">
      <w:rPr>
        <w:b/>
        <w:bCs/>
        <w:sz w:val="16"/>
      </w:rPr>
      <w:tab/>
    </w:r>
    <w:r w:rsidR="00856EA8" w:rsidRPr="00276E72">
      <w:rPr>
        <w:b/>
        <w:bCs/>
        <w:sz w:val="16"/>
        <w:lang w:val="en-US"/>
      </w:rPr>
      <w:t xml:space="preserve">Page </w:t>
    </w:r>
    <w:r w:rsidR="00856EA8" w:rsidRPr="00276E72">
      <w:rPr>
        <w:b/>
        <w:bCs/>
        <w:sz w:val="16"/>
        <w:lang w:val="en-US"/>
      </w:rPr>
      <w:fldChar w:fldCharType="begin"/>
    </w:r>
    <w:r w:rsidR="00856EA8" w:rsidRPr="00276E72">
      <w:rPr>
        <w:b/>
        <w:bCs/>
        <w:sz w:val="16"/>
        <w:lang w:val="en-US"/>
      </w:rPr>
      <w:instrText xml:space="preserve"> PAGE </w:instrText>
    </w:r>
    <w:r w:rsidR="00856EA8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1</w:t>
    </w:r>
    <w:r w:rsidR="00856EA8" w:rsidRPr="00276E72">
      <w:rPr>
        <w:b/>
        <w:bCs/>
        <w:sz w:val="16"/>
        <w:lang w:val="en-US"/>
      </w:rPr>
      <w:fldChar w:fldCharType="end"/>
    </w:r>
    <w:r w:rsidR="00856EA8" w:rsidRPr="00276E72">
      <w:rPr>
        <w:b/>
        <w:bCs/>
        <w:sz w:val="16"/>
        <w:lang w:val="en-US"/>
      </w:rPr>
      <w:t xml:space="preserve"> of </w:t>
    </w:r>
    <w:r w:rsidR="00856EA8" w:rsidRPr="00276E72">
      <w:rPr>
        <w:b/>
        <w:bCs/>
        <w:sz w:val="16"/>
        <w:lang w:val="en-US"/>
      </w:rPr>
      <w:fldChar w:fldCharType="begin"/>
    </w:r>
    <w:r w:rsidR="00856EA8" w:rsidRPr="00276E72">
      <w:rPr>
        <w:b/>
        <w:bCs/>
        <w:sz w:val="16"/>
        <w:lang w:val="en-US"/>
      </w:rPr>
      <w:instrText xml:space="preserve"> NUMPAGES </w:instrText>
    </w:r>
    <w:r w:rsidR="00856EA8" w:rsidRPr="00276E72">
      <w:rPr>
        <w:b/>
        <w:bCs/>
        <w:sz w:val="16"/>
        <w:lang w:val="en-US"/>
      </w:rPr>
      <w:fldChar w:fldCharType="separate"/>
    </w:r>
    <w:r>
      <w:rPr>
        <w:b/>
        <w:bCs/>
        <w:noProof/>
        <w:sz w:val="16"/>
        <w:lang w:val="en-US"/>
      </w:rPr>
      <w:t>2</w:t>
    </w:r>
    <w:r w:rsidR="00856EA8" w:rsidRPr="00276E72">
      <w:rPr>
        <w:b/>
        <w:b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1343" w14:textId="77777777" w:rsidR="00A506DF" w:rsidRDefault="00A506DF">
      <w:r>
        <w:separator/>
      </w:r>
    </w:p>
    <w:p w14:paraId="0D01CD94" w14:textId="77777777" w:rsidR="00A506DF" w:rsidRDefault="00A506DF"/>
    <w:p w14:paraId="1938713F" w14:textId="77777777" w:rsidR="00A506DF" w:rsidRDefault="00A506DF"/>
    <w:p w14:paraId="255D467F" w14:textId="77777777" w:rsidR="00A506DF" w:rsidRDefault="00A506DF"/>
    <w:p w14:paraId="066629FE" w14:textId="77777777" w:rsidR="00A506DF" w:rsidRDefault="00A506DF"/>
    <w:p w14:paraId="18659D10" w14:textId="77777777" w:rsidR="00A506DF" w:rsidRDefault="00A506DF"/>
    <w:p w14:paraId="0D47339A" w14:textId="77777777" w:rsidR="00A506DF" w:rsidRDefault="00A506DF"/>
    <w:p w14:paraId="7F9344AD" w14:textId="77777777" w:rsidR="00A506DF" w:rsidRDefault="00A506DF"/>
    <w:p w14:paraId="4FBEA7B8" w14:textId="77777777" w:rsidR="00A506DF" w:rsidRDefault="00A506DF"/>
  </w:footnote>
  <w:footnote w:type="continuationSeparator" w:id="0">
    <w:p w14:paraId="6F956959" w14:textId="77777777" w:rsidR="00A506DF" w:rsidRDefault="00A506DF">
      <w:r>
        <w:continuationSeparator/>
      </w:r>
    </w:p>
    <w:p w14:paraId="51F76AE6" w14:textId="77777777" w:rsidR="00A506DF" w:rsidRDefault="00A506DF"/>
    <w:p w14:paraId="1BCCE53B" w14:textId="77777777" w:rsidR="00A506DF" w:rsidRDefault="00A506DF"/>
    <w:p w14:paraId="1E82BC96" w14:textId="77777777" w:rsidR="00A506DF" w:rsidRDefault="00A506DF"/>
    <w:p w14:paraId="18898A28" w14:textId="77777777" w:rsidR="00A506DF" w:rsidRDefault="00A506DF"/>
    <w:p w14:paraId="6F85D4D4" w14:textId="77777777" w:rsidR="00A506DF" w:rsidRDefault="00A506DF"/>
    <w:p w14:paraId="7C42C0F9" w14:textId="77777777" w:rsidR="00A506DF" w:rsidRDefault="00A506DF"/>
    <w:p w14:paraId="27F20951" w14:textId="77777777" w:rsidR="00A506DF" w:rsidRDefault="00A506DF"/>
    <w:p w14:paraId="0B5C41D2" w14:textId="77777777" w:rsidR="00A506DF" w:rsidRDefault="00A506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B6F8" w14:textId="06A688AA" w:rsidR="00856EA8" w:rsidRDefault="007438C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2D0B96D" wp14:editId="6A181B8A">
          <wp:simplePos x="0" y="0"/>
          <wp:positionH relativeFrom="column">
            <wp:posOffset>5661660</wp:posOffset>
          </wp:positionH>
          <wp:positionV relativeFrom="paragraph">
            <wp:posOffset>106045</wp:posOffset>
          </wp:positionV>
          <wp:extent cx="1079500" cy="360947"/>
          <wp:effectExtent l="0" t="0" r="635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541472" w14:textId="6C54A764" w:rsidR="00856EA8" w:rsidRDefault="00856EA8">
    <w:pPr>
      <w:pStyle w:val="Header"/>
    </w:pPr>
  </w:p>
  <w:p w14:paraId="09A136C7" w14:textId="77777777" w:rsidR="00856EA8" w:rsidRDefault="00856EA8">
    <w:pPr>
      <w:pStyle w:val="Header"/>
    </w:pPr>
  </w:p>
  <w:p w14:paraId="08BF3036" w14:textId="77777777" w:rsidR="00856EA8" w:rsidRDefault="00856EA8" w:rsidP="007825B1">
    <w:pPr>
      <w:pStyle w:val="Header"/>
      <w:jc w:val="right"/>
      <w:rPr>
        <w:sz w:val="14"/>
        <w:szCs w:val="14"/>
      </w:rPr>
    </w:pPr>
  </w:p>
  <w:p w14:paraId="29A938C6" w14:textId="77777777" w:rsidR="00856EA8" w:rsidRPr="00276E72" w:rsidRDefault="00856EA8" w:rsidP="007825B1">
    <w:pPr>
      <w:pStyle w:val="Header"/>
      <w:jc w:val="right"/>
      <w:rPr>
        <w:b/>
        <w:sz w:val="16"/>
        <w:szCs w:val="14"/>
      </w:rPr>
    </w:pPr>
    <w:r>
      <w:rPr>
        <w:b/>
        <w:sz w:val="16"/>
        <w:szCs w:val="14"/>
      </w:rPr>
      <w:t>PF-PTD-124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DE0"/>
    <w:multiLevelType w:val="multilevel"/>
    <w:tmpl w:val="E3607A9A"/>
    <w:numStyleLink w:val="Numbering-2ndLevel"/>
  </w:abstractNum>
  <w:abstractNum w:abstractNumId="1" w15:restartNumberingAfterBreak="0">
    <w:nsid w:val="052101BA"/>
    <w:multiLevelType w:val="multilevel"/>
    <w:tmpl w:val="E3607A9A"/>
    <w:styleLink w:val="Numbering-2ndLevel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8"/>
        </w:tabs>
        <w:ind w:left="1448" w:hanging="720"/>
      </w:pPr>
      <w:rPr>
        <w:rFonts w:ascii="Arial" w:hAnsi="Arial"/>
        <w:b/>
        <w:bCs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C306C7"/>
    <w:multiLevelType w:val="multilevel"/>
    <w:tmpl w:val="CF488D3C"/>
    <w:styleLink w:val="Numbering-Ma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18"/>
        </w:tabs>
        <w:ind w:left="13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36644BBE"/>
    <w:multiLevelType w:val="multilevel"/>
    <w:tmpl w:val="CF488D3C"/>
    <w:numStyleLink w:val="Numbering-Main"/>
  </w:abstractNum>
  <w:abstractNum w:abstractNumId="4" w15:restartNumberingAfterBreak="0">
    <w:nsid w:val="563E5BAA"/>
    <w:multiLevelType w:val="multilevel"/>
    <w:tmpl w:val="1B40E89A"/>
    <w:lvl w:ilvl="0">
      <w:start w:val="1"/>
      <w:numFmt w:val="bullet"/>
      <w:lvlText w:val=""/>
      <w:lvlJc w:val="left"/>
      <w:pPr>
        <w:tabs>
          <w:tab w:val="num" w:pos="180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60047"/>
    <w:multiLevelType w:val="multilevel"/>
    <w:tmpl w:val="972CF1C8"/>
    <w:styleLink w:val="StyleBulleted"/>
    <w:lvl w:ilvl="0">
      <w:start w:val="1"/>
      <w:numFmt w:val="bullet"/>
      <w:lvlText w:val=""/>
      <w:lvlJc w:val="left"/>
      <w:pPr>
        <w:tabs>
          <w:tab w:val="num" w:pos="1474"/>
        </w:tabs>
        <w:ind w:left="964" w:hanging="62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2092028">
    <w:abstractNumId w:val="3"/>
  </w:num>
  <w:num w:numId="2" w16cid:durableId="1192232810">
    <w:abstractNumId w:val="2"/>
  </w:num>
  <w:num w:numId="3" w16cid:durableId="514267794">
    <w:abstractNumId w:val="1"/>
  </w:num>
  <w:num w:numId="4" w16cid:durableId="1386218124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8"/>
          </w:tabs>
          <w:ind w:left="1448" w:hanging="720"/>
        </w:pPr>
        <w:rPr>
          <w:rFonts w:ascii="Arial" w:hAnsi="Arial"/>
          <w:b/>
          <w:bCs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 w16cid:durableId="333994267">
    <w:abstractNumId w:val="4"/>
  </w:num>
  <w:num w:numId="6" w16cid:durableId="154313275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373"/>
    <w:rsid w:val="000179B3"/>
    <w:rsid w:val="00020BD4"/>
    <w:rsid w:val="000243C1"/>
    <w:rsid w:val="0002557F"/>
    <w:rsid w:val="00027659"/>
    <w:rsid w:val="000319DA"/>
    <w:rsid w:val="00031CF3"/>
    <w:rsid w:val="00051A93"/>
    <w:rsid w:val="000870E3"/>
    <w:rsid w:val="00093E60"/>
    <w:rsid w:val="000A0B79"/>
    <w:rsid w:val="000B0741"/>
    <w:rsid w:val="000B2B1F"/>
    <w:rsid w:val="000B6041"/>
    <w:rsid w:val="000D4ACB"/>
    <w:rsid w:val="00110081"/>
    <w:rsid w:val="00142C02"/>
    <w:rsid w:val="00143405"/>
    <w:rsid w:val="0014577D"/>
    <w:rsid w:val="001524D3"/>
    <w:rsid w:val="0015285F"/>
    <w:rsid w:val="00165531"/>
    <w:rsid w:val="001A192D"/>
    <w:rsid w:val="001A35B3"/>
    <w:rsid w:val="001A3B8C"/>
    <w:rsid w:val="001B38FF"/>
    <w:rsid w:val="001C3A05"/>
    <w:rsid w:val="001C64B0"/>
    <w:rsid w:val="001C7ACD"/>
    <w:rsid w:val="001E737A"/>
    <w:rsid w:val="00200287"/>
    <w:rsid w:val="00213A85"/>
    <w:rsid w:val="00215ED3"/>
    <w:rsid w:val="002334DE"/>
    <w:rsid w:val="00233CC3"/>
    <w:rsid w:val="00241B5E"/>
    <w:rsid w:val="00250845"/>
    <w:rsid w:val="00276E72"/>
    <w:rsid w:val="00280D13"/>
    <w:rsid w:val="0029197D"/>
    <w:rsid w:val="002A52E6"/>
    <w:rsid w:val="002D4953"/>
    <w:rsid w:val="002F2660"/>
    <w:rsid w:val="0030270A"/>
    <w:rsid w:val="003036FA"/>
    <w:rsid w:val="0030417D"/>
    <w:rsid w:val="0033595A"/>
    <w:rsid w:val="003371FF"/>
    <w:rsid w:val="00363775"/>
    <w:rsid w:val="00367EB8"/>
    <w:rsid w:val="00370B73"/>
    <w:rsid w:val="00373ACB"/>
    <w:rsid w:val="003840AF"/>
    <w:rsid w:val="00386207"/>
    <w:rsid w:val="003A52BD"/>
    <w:rsid w:val="003D6C00"/>
    <w:rsid w:val="003E05C3"/>
    <w:rsid w:val="003F6428"/>
    <w:rsid w:val="003F644E"/>
    <w:rsid w:val="003F7920"/>
    <w:rsid w:val="00410ABF"/>
    <w:rsid w:val="0041586F"/>
    <w:rsid w:val="0041597C"/>
    <w:rsid w:val="00423758"/>
    <w:rsid w:val="00426C78"/>
    <w:rsid w:val="00427A2F"/>
    <w:rsid w:val="00442BE2"/>
    <w:rsid w:val="0044325B"/>
    <w:rsid w:val="00473B09"/>
    <w:rsid w:val="00475BA0"/>
    <w:rsid w:val="0048376D"/>
    <w:rsid w:val="0049210F"/>
    <w:rsid w:val="00494CC5"/>
    <w:rsid w:val="004C3A8E"/>
    <w:rsid w:val="004D07C8"/>
    <w:rsid w:val="004D304C"/>
    <w:rsid w:val="004E481B"/>
    <w:rsid w:val="004F3027"/>
    <w:rsid w:val="004F3E2E"/>
    <w:rsid w:val="004F5E94"/>
    <w:rsid w:val="00501C60"/>
    <w:rsid w:val="00504AC8"/>
    <w:rsid w:val="00512E60"/>
    <w:rsid w:val="0053496A"/>
    <w:rsid w:val="005374CD"/>
    <w:rsid w:val="00545D5C"/>
    <w:rsid w:val="0054742D"/>
    <w:rsid w:val="00552AB8"/>
    <w:rsid w:val="00555982"/>
    <w:rsid w:val="0057795B"/>
    <w:rsid w:val="0059753C"/>
    <w:rsid w:val="005A32CD"/>
    <w:rsid w:val="005A7813"/>
    <w:rsid w:val="005B6FE9"/>
    <w:rsid w:val="005C36CC"/>
    <w:rsid w:val="005F0E4D"/>
    <w:rsid w:val="00601E6A"/>
    <w:rsid w:val="00601F7D"/>
    <w:rsid w:val="0060596E"/>
    <w:rsid w:val="00605B72"/>
    <w:rsid w:val="00606970"/>
    <w:rsid w:val="00614FDA"/>
    <w:rsid w:val="00620713"/>
    <w:rsid w:val="006258E1"/>
    <w:rsid w:val="0063431F"/>
    <w:rsid w:val="00634B46"/>
    <w:rsid w:val="006355A1"/>
    <w:rsid w:val="006526F9"/>
    <w:rsid w:val="00680B7A"/>
    <w:rsid w:val="006953C8"/>
    <w:rsid w:val="006A0229"/>
    <w:rsid w:val="006A4043"/>
    <w:rsid w:val="006B1129"/>
    <w:rsid w:val="006C0968"/>
    <w:rsid w:val="006C27F8"/>
    <w:rsid w:val="006D5410"/>
    <w:rsid w:val="006E029A"/>
    <w:rsid w:val="006E034F"/>
    <w:rsid w:val="006E4CA7"/>
    <w:rsid w:val="006E690F"/>
    <w:rsid w:val="006F33F6"/>
    <w:rsid w:val="00715F32"/>
    <w:rsid w:val="00722436"/>
    <w:rsid w:val="007301C5"/>
    <w:rsid w:val="00732555"/>
    <w:rsid w:val="0073291F"/>
    <w:rsid w:val="007438C4"/>
    <w:rsid w:val="00755A82"/>
    <w:rsid w:val="00757FB0"/>
    <w:rsid w:val="00761A5F"/>
    <w:rsid w:val="00765D50"/>
    <w:rsid w:val="007825B1"/>
    <w:rsid w:val="00786244"/>
    <w:rsid w:val="007C17F2"/>
    <w:rsid w:val="007D16E8"/>
    <w:rsid w:val="007E4EAA"/>
    <w:rsid w:val="007E57E7"/>
    <w:rsid w:val="007E5EAC"/>
    <w:rsid w:val="007F0870"/>
    <w:rsid w:val="007F4369"/>
    <w:rsid w:val="008065F7"/>
    <w:rsid w:val="008207F8"/>
    <w:rsid w:val="00833508"/>
    <w:rsid w:val="00845B7D"/>
    <w:rsid w:val="00853B27"/>
    <w:rsid w:val="00856EA8"/>
    <w:rsid w:val="0087739A"/>
    <w:rsid w:val="008801A5"/>
    <w:rsid w:val="00886BFD"/>
    <w:rsid w:val="00891DBE"/>
    <w:rsid w:val="008B5D0A"/>
    <w:rsid w:val="008C4CC6"/>
    <w:rsid w:val="008C6F9E"/>
    <w:rsid w:val="008D286B"/>
    <w:rsid w:val="008E0A02"/>
    <w:rsid w:val="008E102A"/>
    <w:rsid w:val="008E4DE2"/>
    <w:rsid w:val="008F12AD"/>
    <w:rsid w:val="00914118"/>
    <w:rsid w:val="00922766"/>
    <w:rsid w:val="009255AD"/>
    <w:rsid w:val="00951DF8"/>
    <w:rsid w:val="00970680"/>
    <w:rsid w:val="0097149C"/>
    <w:rsid w:val="009A76AF"/>
    <w:rsid w:val="009B2D06"/>
    <w:rsid w:val="009B6924"/>
    <w:rsid w:val="009B6E23"/>
    <w:rsid w:val="009D4893"/>
    <w:rsid w:val="009E1DFB"/>
    <w:rsid w:val="009F0B13"/>
    <w:rsid w:val="00A12E22"/>
    <w:rsid w:val="00A22D4E"/>
    <w:rsid w:val="00A42096"/>
    <w:rsid w:val="00A506DF"/>
    <w:rsid w:val="00A50F38"/>
    <w:rsid w:val="00A6576B"/>
    <w:rsid w:val="00A70983"/>
    <w:rsid w:val="00A9048F"/>
    <w:rsid w:val="00AB7923"/>
    <w:rsid w:val="00AE023A"/>
    <w:rsid w:val="00AE0D3C"/>
    <w:rsid w:val="00AE4225"/>
    <w:rsid w:val="00AE4EF9"/>
    <w:rsid w:val="00AF5D38"/>
    <w:rsid w:val="00AF7E21"/>
    <w:rsid w:val="00B001E0"/>
    <w:rsid w:val="00B03F45"/>
    <w:rsid w:val="00B04F31"/>
    <w:rsid w:val="00B34F39"/>
    <w:rsid w:val="00B42D94"/>
    <w:rsid w:val="00B9083F"/>
    <w:rsid w:val="00BA2D6B"/>
    <w:rsid w:val="00BC7AC6"/>
    <w:rsid w:val="00C07872"/>
    <w:rsid w:val="00C27373"/>
    <w:rsid w:val="00C41AE9"/>
    <w:rsid w:val="00C42234"/>
    <w:rsid w:val="00C536BA"/>
    <w:rsid w:val="00C84BDB"/>
    <w:rsid w:val="00C93E4D"/>
    <w:rsid w:val="00CB3B8D"/>
    <w:rsid w:val="00CB5587"/>
    <w:rsid w:val="00CC4B0C"/>
    <w:rsid w:val="00CD32BA"/>
    <w:rsid w:val="00CD78D1"/>
    <w:rsid w:val="00CE5A2D"/>
    <w:rsid w:val="00D00EC6"/>
    <w:rsid w:val="00D02F0C"/>
    <w:rsid w:val="00D43011"/>
    <w:rsid w:val="00D620E0"/>
    <w:rsid w:val="00D752F9"/>
    <w:rsid w:val="00D80EDE"/>
    <w:rsid w:val="00D838B4"/>
    <w:rsid w:val="00D860B6"/>
    <w:rsid w:val="00D8686A"/>
    <w:rsid w:val="00D868D1"/>
    <w:rsid w:val="00DA5507"/>
    <w:rsid w:val="00DB7E33"/>
    <w:rsid w:val="00DC2055"/>
    <w:rsid w:val="00DC69BA"/>
    <w:rsid w:val="00DC7DFF"/>
    <w:rsid w:val="00DD171F"/>
    <w:rsid w:val="00DF3ECE"/>
    <w:rsid w:val="00E00E41"/>
    <w:rsid w:val="00E05F0A"/>
    <w:rsid w:val="00E100D2"/>
    <w:rsid w:val="00E14180"/>
    <w:rsid w:val="00E245D5"/>
    <w:rsid w:val="00E33E5B"/>
    <w:rsid w:val="00E33F9F"/>
    <w:rsid w:val="00E4466E"/>
    <w:rsid w:val="00E472D8"/>
    <w:rsid w:val="00E57FD2"/>
    <w:rsid w:val="00E66D74"/>
    <w:rsid w:val="00E769B4"/>
    <w:rsid w:val="00EB1F4D"/>
    <w:rsid w:val="00ED1271"/>
    <w:rsid w:val="00ED5B30"/>
    <w:rsid w:val="00EE221B"/>
    <w:rsid w:val="00EE61A4"/>
    <w:rsid w:val="00F01E8F"/>
    <w:rsid w:val="00F11998"/>
    <w:rsid w:val="00F129B1"/>
    <w:rsid w:val="00F16CFD"/>
    <w:rsid w:val="00F23565"/>
    <w:rsid w:val="00F27F84"/>
    <w:rsid w:val="00F35A83"/>
    <w:rsid w:val="00F44150"/>
    <w:rsid w:val="00F63878"/>
    <w:rsid w:val="00F720B6"/>
    <w:rsid w:val="00F8688C"/>
    <w:rsid w:val="00F94A3E"/>
    <w:rsid w:val="00F96159"/>
    <w:rsid w:val="00FA117B"/>
    <w:rsid w:val="00FA1752"/>
    <w:rsid w:val="00FB2652"/>
    <w:rsid w:val="00FB72A5"/>
    <w:rsid w:val="00FC3B47"/>
    <w:rsid w:val="00FE4F5B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9ABE58"/>
  <w15:docId w15:val="{3F7142DD-BAF1-44F1-9765-FA981BF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B1"/>
    <w:pPr>
      <w:spacing w:line="276" w:lineRule="auto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410ABF"/>
    <w:pPr>
      <w:keepNext/>
      <w:spacing w:before="240" w:after="60"/>
      <w:outlineLvl w:val="0"/>
    </w:pPr>
    <w:rPr>
      <w:b/>
      <w:iCs/>
      <w:caps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cs="Tahoma"/>
    </w:rPr>
  </w:style>
  <w:style w:type="table" w:styleId="TableGrid">
    <w:name w:val="Table Grid"/>
    <w:basedOn w:val="TableNormal"/>
    <w:rsid w:val="00CD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s">
    <w:name w:val="Headings"/>
    <w:rsid w:val="00CD78D1"/>
    <w:rPr>
      <w:rFonts w:ascii="Arial" w:hAnsi="Arial"/>
      <w:b/>
      <w:bCs/>
      <w:sz w:val="24"/>
    </w:rPr>
  </w:style>
  <w:style w:type="paragraph" w:customStyle="1" w:styleId="BodyTextFrontPage">
    <w:name w:val="BodyText Front Page"/>
    <w:basedOn w:val="Normal"/>
    <w:rsid w:val="00D838B4"/>
    <w:pPr>
      <w:framePr w:hSpace="180" w:wrap="around" w:vAnchor="text" w:hAnchor="margin" w:xAlign="center" w:y="37"/>
      <w:jc w:val="center"/>
    </w:pPr>
    <w:rPr>
      <w:sz w:val="24"/>
    </w:rPr>
  </w:style>
  <w:style w:type="paragraph" w:styleId="TOC2">
    <w:name w:val="toc 2"/>
    <w:basedOn w:val="Heading2"/>
    <w:next w:val="Normal"/>
    <w:autoRedefine/>
    <w:semiHidden/>
    <w:rsid w:val="00A6576B"/>
    <w:pPr>
      <w:keepNext w:val="0"/>
      <w:spacing w:before="120" w:after="0"/>
      <w:ind w:left="220"/>
      <w:outlineLvl w:val="9"/>
    </w:pPr>
    <w:rPr>
      <w:rFonts w:cs="Times New Roman"/>
      <w:b w:val="0"/>
      <w:bCs w:val="0"/>
      <w:iCs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A6576B"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MainTitle">
    <w:name w:val="Main Title"/>
    <w:basedOn w:val="Heading1"/>
    <w:rsid w:val="00D838B4"/>
    <w:pPr>
      <w:jc w:val="center"/>
    </w:pPr>
    <w:rPr>
      <w:bCs/>
      <w:iCs w:val="0"/>
      <w:sz w:val="40"/>
    </w:rPr>
  </w:style>
  <w:style w:type="character" w:customStyle="1" w:styleId="FooterChar">
    <w:name w:val="Footer Char"/>
    <w:link w:val="Footer"/>
    <w:rsid w:val="00A9048F"/>
    <w:rPr>
      <w:rFonts w:ascii="Arial" w:hAnsi="Arial" w:cs="Tahoma"/>
      <w:sz w:val="22"/>
      <w:lang w:val="en-GB" w:eastAsia="en-US" w:bidi="ar-SA"/>
    </w:rPr>
  </w:style>
  <w:style w:type="character" w:customStyle="1" w:styleId="Heading4Char">
    <w:name w:val="Heading 4 Char"/>
    <w:link w:val="Heading4"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numbering" w:customStyle="1" w:styleId="Numbering-Main">
    <w:name w:val="Numbering - Main"/>
    <w:basedOn w:val="NoList"/>
    <w:rsid w:val="00620713"/>
    <w:pPr>
      <w:numPr>
        <w:numId w:val="2"/>
      </w:numPr>
    </w:pPr>
  </w:style>
  <w:style w:type="numbering" w:customStyle="1" w:styleId="Numbering-2ndLevel">
    <w:name w:val="Numbering - 2nd Level"/>
    <w:basedOn w:val="NoList"/>
    <w:rsid w:val="00891DBE"/>
    <w:pPr>
      <w:numPr>
        <w:numId w:val="3"/>
      </w:numPr>
    </w:pPr>
  </w:style>
  <w:style w:type="paragraph" w:customStyle="1" w:styleId="BodyText-2ndlevel">
    <w:name w:val="Body Text - 2nd level"/>
    <w:basedOn w:val="Normal"/>
    <w:rsid w:val="0002557F"/>
    <w:pPr>
      <w:ind w:left="1066"/>
    </w:pPr>
    <w:rPr>
      <w:sz w:val="24"/>
    </w:rPr>
  </w:style>
  <w:style w:type="paragraph" w:customStyle="1" w:styleId="Bodytext-1stLevel">
    <w:name w:val="Body text - 1st Level"/>
    <w:basedOn w:val="Normal"/>
    <w:rsid w:val="0002557F"/>
    <w:pPr>
      <w:ind w:left="390"/>
    </w:pPr>
    <w:rPr>
      <w:sz w:val="24"/>
    </w:rPr>
  </w:style>
  <w:style w:type="character" w:customStyle="1" w:styleId="BodyText-Tables2">
    <w:name w:val="Body Text - Tables 2"/>
    <w:rsid w:val="0059753C"/>
    <w:rPr>
      <w:rFonts w:ascii="Arial" w:hAnsi="Arial"/>
      <w:sz w:val="24"/>
    </w:rPr>
  </w:style>
  <w:style w:type="numbering" w:customStyle="1" w:styleId="StyleBulleted">
    <w:name w:val="Style Bulleted"/>
    <w:rsid w:val="00FA1752"/>
    <w:pPr>
      <w:numPr>
        <w:numId w:val="6"/>
      </w:numPr>
    </w:pPr>
  </w:style>
  <w:style w:type="paragraph" w:styleId="NoSpacing">
    <w:name w:val="No Spacing"/>
    <w:uiPriority w:val="1"/>
    <w:qFormat/>
    <w:rsid w:val="00386207"/>
    <w:rPr>
      <w:rFonts w:ascii="Calibri" w:hAnsi="Calibri"/>
      <w:sz w:val="22"/>
      <w:lang w:eastAsia="en-US"/>
    </w:rPr>
  </w:style>
  <w:style w:type="character" w:styleId="Hyperlink">
    <w:name w:val="Hyperlink"/>
    <w:basedOn w:val="DefaultParagraphFont"/>
    <w:rsid w:val="001A35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66D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A439.FAC7809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Faecal Elastase</vt:lpstr>
    </vt:vector>
  </TitlesOfParts>
  <Company>Basildon &amp; Thurrock GHT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Faecal Elastase</dc:title>
  <dc:subject/>
  <dc:creator>Katherine Reade</dc:creator>
  <cp:keywords/>
  <cp:lastModifiedBy>Sally Burrows</cp:lastModifiedBy>
  <cp:revision>13</cp:revision>
  <cp:lastPrinted>2013-05-21T17:03:00Z</cp:lastPrinted>
  <dcterms:created xsi:type="dcterms:W3CDTF">2018-09-10T12:45:00Z</dcterms:created>
  <dcterms:modified xsi:type="dcterms:W3CDTF">2024-11-01T12:00:00Z</dcterms:modified>
</cp:coreProperties>
</file>