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7"/>
        <w:gridCol w:w="281"/>
        <w:gridCol w:w="7230"/>
      </w:tblGrid>
      <w:tr>
        <w:trPr>
          <w:trHeight w:val="762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 xml:space="preserve">Direct Antiglobulin Test  </w:t>
            </w: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drawing>
                <wp:inline distT="0" distB="0" distL="0" distR="0">
                  <wp:extent cx="1238250" cy="107505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br/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DAGT, DCT, DAT, Direct Coomb's Test, Coomb's Test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Laboratory screening results suggest follow up test and/or Consultant direction. Examples; haemolytic anaemia, possible transfusion reaction, haemolysis screen. Cord specimens NO LONGER require a DAGT test as part of the Cord &amp; Maternal Testing.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clinical indication only with guidance from a Consultant Haematologist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24 Hrs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Whole Blood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Container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Basildon Site: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Southend site: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 &gt; 4 months old up to age 12: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1 x 2 ml EDTA sample, bled into 4 ml EDTA sample tube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 &gt; 12 years old and up to adult: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 1 x 4 ml EDTA sample.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 &lt; 4 months old, 1 x 1ml EDTA sample: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bled into paediatric sample tube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4450" distB="64770" distL="114300" distR="114300" simplePos="0" locked="0" layoutInCell="1" allowOverlap="1" relativeHeight="6" wp14:anchorId="0C648846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147955</wp:posOffset>
                      </wp:positionV>
                      <wp:extent cx="2057400" cy="352425"/>
                      <wp:effectExtent l="0" t="0" r="0" b="9525"/>
                      <wp:wrapSquare wrapText="bothSides"/>
                      <wp:docPr id="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5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Purple top (EDTA) tube.                                        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63.25pt;margin-top:11.65pt;width:161.95pt;height:27.7pt;mso-wrap-style:square;v-text-anchor:top" wp14:anchorId="0C648846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Purple top (EDTA) tube.                             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</w:t>
            </w:r>
            <w:r>
              <w:rPr/>
              <w:object w:dxaOrig="3045" w:dyaOrig="990">
                <v:shapetype id="_x0000_tole_rId3" coordsize="21600,21600" o:spt="ole_rId3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3" type="_x0000_tole_rId3" style="width:143.5pt;height:46.5pt;mso-wrap-distance-right:0pt;mso-wrap-distance-bottom:5pt" filled="f" o:ole="">
                  <v:imagedata r:id="rId4" o:title=""/>
                </v:shape>
                <o:OLEObject Type="Embed" ProgID="PBrush" ShapeID="ole_rId3" DrawAspect="Content" ObjectID="_1668354086" r:id="rId3"/>
              </w:objec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085" distB="53975" distL="113665" distR="123825" simplePos="0" locked="0" layoutInCell="1" allowOverlap="1" relativeHeight="8" wp14:anchorId="44ED106B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135890</wp:posOffset>
                      </wp:positionV>
                      <wp:extent cx="2085975" cy="504825"/>
                      <wp:effectExtent l="635" t="635" r="0" b="0"/>
                      <wp:wrapSquare wrapText="bothSides"/>
                      <wp:docPr id="4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840" cy="50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tabs>
                                      <w:tab w:val="clear" w:pos="720"/>
                                      <w:tab w:val="left" w:pos="3705" w:leader="none"/>
                                    </w:tabs>
                                    <w:spacing w:lineRule="auto" w:line="240" w:before="100" w:after="100"/>
                                    <w:rPr>
                                      <w:rFonts w:ascii="Calibri" w:hAnsi="Calibri" w:asciiTheme="minorHAnsi" w:hAnsiTheme="minorHAnsi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Sarstedt EDTA KE/1.3 Micro tubes with red screw cap                                       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59.5pt;margin-top:10.7pt;width:164.2pt;height:39.7pt;mso-wrap-style:square;v-text-anchor:top" wp14:anchorId="44ED106B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tabs>
                                <w:tab w:val="clear" w:pos="720"/>
                                <w:tab w:val="left" w:pos="3705" w:leader="none"/>
                              </w:tabs>
                              <w:spacing w:lineRule="auto" w:line="240" w:before="100" w:after="100"/>
                              <w:rPr>
                                <w:rFonts w:ascii="Calibri" w:hAnsi="Calibri" w:asciiTheme="minorHAnsi" w:hAnsiTheme="minorHAnsi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Sarstedt EDTA KE/1.3 Micro tubes with red screw cap                                      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</w:t>
            </w:r>
            <w:r>
              <w:rPr/>
              <mc:AlternateContent>
                <mc:Choice Requires="wps">
                  <w:drawing>
                    <wp:inline distT="0" distB="0" distL="0" distR="0" wp14:anchorId="536867AA">
                      <wp:extent cx="723900" cy="1370965"/>
                      <wp:effectExtent l="38735" t="11430" r="0" b="0"/>
                      <wp:docPr id="6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rot="5400000">
                                <a:off x="0" y="0"/>
                                <a:ext cx="723960" cy="13708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margin-left:25.45pt;margin-top:-83.4pt;width:56.95pt;height:107.9pt;mso-wrap-style:none;v-text-anchor:middle;rotation:90;mso-position-vertical:top" wp14:anchorId="536867AA" type="_x0000_t75">
                      <v:imagedata r:id="rId6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4450" distB="64770" distL="114300" distR="114300" simplePos="0" locked="0" layoutInCell="1" allowOverlap="1" relativeHeight="10" wp14:anchorId="140F321E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382270</wp:posOffset>
                      </wp:positionV>
                      <wp:extent cx="2133600" cy="352425"/>
                      <wp:effectExtent l="0" t="0" r="0" b="9525"/>
                      <wp:wrapSquare wrapText="bothSides"/>
                      <wp:docPr id="7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720" cy="35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Purple Top (EDTA) tube                                            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65.5pt;margin-top:30.1pt;width:167.95pt;height:27.7pt;mso-wrap-style:square;v-text-anchor:top" wp14:anchorId="140F321E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Purple Top (EDTA) tube                                 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      </w:t>
            </w:r>
            <w:r>
              <w:rPr/>
              <w:object w:dxaOrig="3045" w:dyaOrig="990">
                <v:shapetype id="_x0000_tole_rId7" coordsize="21600,21600" o:spt="ole_rId7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7" type="_x0000_tole_rId7" style="width:146.5pt;height:48pt;mso-wrap-distance-right:0pt;mso-wrap-distance-bottom:5pt" filled="f" o:ole="">
                  <v:imagedata r:id="rId8" o:title=""/>
                </v:shape>
                <o:OLEObject Type="Embed" ProgID="PBrush" ShapeID="ole_rId7" DrawAspect="Content" ObjectID="_1053198196" r:id="rId7"/>
              </w:objec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mc:AlternateContent>
                <mc:Choice Requires="wps">
                  <w:drawing>
                    <wp:anchor behindDoc="0" distT="45720" distB="45720" distL="112395" distR="114300" simplePos="0" locked="0" layoutInCell="1" allowOverlap="1" relativeHeight="12" wp14:anchorId="0828FB39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20955</wp:posOffset>
                      </wp:positionV>
                      <wp:extent cx="1602105" cy="514350"/>
                      <wp:effectExtent l="0" t="0" r="0" b="0"/>
                      <wp:wrapSquare wrapText="bothSides"/>
                      <wp:docPr id="9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0" cy="51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>Pink Top EDTA (Microtainer)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79.75pt;margin-top:1.65pt;width:126.1pt;height:40.45pt;mso-wrap-style:square;v-text-anchor:top" wp14:anchorId="0828FB39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>Pink Top EDTA (Microtainer)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514475" cy="514350"/>
                  <wp:effectExtent l="0" t="0" r="0" b="0"/>
                  <wp:docPr id="1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  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b/>
                <w:b/>
                <w:szCs w:val="22"/>
                <w:lang w:eastAsia="en-GB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Cs w:val="22"/>
                <w:lang w:val="en-GB" w:eastAsia="en-GB" w:bidi="ar-SA"/>
              </w:rPr>
              <w:t>Samples must be labelled in full and signed by person collecting the blood, in accordance with the Blood Transfusion specimen acceptance policy. Samples must be transported to the laboratory immediately.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Refer to individual reports.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False-positive or false-negative test results can occur from bacterial or chemical contamination of test materials, improper centrifugation or improper storage of materials.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Anomalous results may be caused by fresh serum or fibrin or particulate matter in plasma.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Not all positive reactions imply the presence of clinically significant antibodies. To further investigate positive results elution techniques may be used.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Samples are spun before processing.</w:t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</w:p>
    <w:sectPr>
      <w:headerReference w:type="default" r:id="rId10"/>
      <w:footerReference w:type="default" r:id="rId11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1.4 / October 2024</w:t>
      <w:tab/>
      <w:t>Approved by: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5219700</wp:posOffset>
          </wp:positionH>
          <wp:positionV relativeFrom="paragraph">
            <wp:posOffset>48260</wp:posOffset>
          </wp:positionV>
          <wp:extent cx="1498600" cy="501015"/>
          <wp:effectExtent l="0" t="0" r="0" b="0"/>
          <wp:wrapNone/>
          <wp:docPr id="1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PF-PTD-113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oleObject" Target="embeddings/oleObject2.bin"/><Relationship Id="rId8" Type="http://schemas.openxmlformats.org/officeDocument/2006/relationships/image" Target="media/image2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LibreOffice/7.4.7.2$Windows_X86_64 LibreOffice_project/723314e595e8007d3cf785c16538505a1c878ca5</Application>
  <AppVersion>15.0000</AppVersion>
  <Pages>2</Pages>
  <Words>300</Words>
  <Characters>1665</Characters>
  <CharactersWithSpaces>2467</CharactersWithSpaces>
  <Paragraphs>49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2019-02-11T17:25:00Z</dcterms:created>
  <dc:creator>Katherine Reade</dc:creator>
  <dc:description/>
  <dc:language>en-GB</dc:language>
  <cp:lastModifiedBy/>
  <cp:lastPrinted>2013-05-21T17:03:00Z</cp:lastPrinted>
  <dcterms:modified xsi:type="dcterms:W3CDTF">2024-10-31T17:09:11Z</dcterms:modified>
  <cp:revision>14</cp:revision>
  <dc:subject/>
  <dc:title>Direct Antiglobulin Test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