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283"/>
        <w:gridCol w:w="7229"/>
      </w:tblGrid>
      <w:tr w:rsidR="008E6354" w14:paraId="267A5CFD" w14:textId="77777777" w:rsidTr="00CD4C33">
        <w:trPr>
          <w:trHeight w:val="773"/>
        </w:trPr>
        <w:tc>
          <w:tcPr>
            <w:tcW w:w="10631" w:type="dxa"/>
            <w:gridSpan w:val="4"/>
          </w:tcPr>
          <w:p w14:paraId="3833636F" w14:textId="77777777" w:rsidR="008E6354" w:rsidRPr="00CD4C33" w:rsidRDefault="008E6354" w:rsidP="008E6354">
            <w:pPr>
              <w:rPr>
                <w:b/>
                <w:sz w:val="36"/>
                <w:szCs w:val="36"/>
              </w:rPr>
            </w:pPr>
            <w:r w:rsidRPr="00CD4C33">
              <w:rPr>
                <w:b/>
                <w:sz w:val="36"/>
                <w:szCs w:val="36"/>
              </w:rPr>
              <w:t>CSF Oligoclonal Bands</w:t>
            </w:r>
          </w:p>
        </w:tc>
      </w:tr>
      <w:tr w:rsidR="009F0B13" w:rsidRPr="00F23565" w14:paraId="0EE934C4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F4E0A36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Synonyms</w:t>
            </w:r>
          </w:p>
        </w:tc>
        <w:tc>
          <w:tcPr>
            <w:tcW w:w="283" w:type="dxa"/>
            <w:shd w:val="clear" w:color="auto" w:fill="auto"/>
          </w:tcPr>
          <w:p w14:paraId="2FEA8B3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53EB8F67" w14:textId="77777777" w:rsidR="00BA2D6B" w:rsidRPr="0060596E" w:rsidRDefault="00474274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OCB, Oligo</w:t>
            </w:r>
          </w:p>
        </w:tc>
      </w:tr>
      <w:tr w:rsidR="00BA2D6B" w:rsidRPr="00F23565" w14:paraId="06399627" w14:textId="77777777" w:rsidTr="009F0B13">
        <w:tc>
          <w:tcPr>
            <w:tcW w:w="3119" w:type="dxa"/>
            <w:gridSpan w:val="2"/>
          </w:tcPr>
          <w:p w14:paraId="239A0E95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Clinical Indication</w:t>
            </w:r>
          </w:p>
        </w:tc>
        <w:tc>
          <w:tcPr>
            <w:tcW w:w="283" w:type="dxa"/>
            <w:shd w:val="clear" w:color="auto" w:fill="auto"/>
          </w:tcPr>
          <w:p w14:paraId="682E39A0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065A49D" w14:textId="77777777" w:rsidR="00474274" w:rsidRDefault="00474274" w:rsidP="008E6354">
            <w:pPr>
              <w:autoSpaceDE w:val="0"/>
              <w:autoSpaceDN w:val="0"/>
              <w:adjustRightInd w:val="0"/>
              <w:spacing w:before="100" w:after="100" w:line="240" w:lineRule="auto"/>
              <w:rPr>
                <w:lang w:eastAsia="en-GB"/>
              </w:rPr>
            </w:pPr>
            <w:r w:rsidRPr="00474274">
              <w:rPr>
                <w:lang w:eastAsia="en-GB"/>
              </w:rPr>
              <w:t>Suspected CNS inflammation. Particularly demyelinating syndromes such as multiple sclerosis.</w:t>
            </w:r>
          </w:p>
          <w:p w14:paraId="6668EDAE" w14:textId="77777777" w:rsidR="008E6354" w:rsidRPr="00474274" w:rsidRDefault="008E6354" w:rsidP="008E6354">
            <w:pPr>
              <w:autoSpaceDE w:val="0"/>
              <w:autoSpaceDN w:val="0"/>
              <w:adjustRightInd w:val="0"/>
              <w:spacing w:before="100" w:after="100" w:line="240" w:lineRule="auto"/>
              <w:rPr>
                <w:lang w:eastAsia="en-GB"/>
              </w:rPr>
            </w:pPr>
            <w:r w:rsidRPr="00474274">
              <w:rPr>
                <w:lang w:eastAsia="en-GB"/>
              </w:rPr>
              <w:t>The following must be indicated on the request form:</w:t>
            </w:r>
          </w:p>
          <w:p w14:paraId="62731376" w14:textId="77777777" w:rsidR="008E6354" w:rsidRDefault="008E6354" w:rsidP="008E6354">
            <w:pPr>
              <w:pStyle w:val="NoSpacing"/>
              <w:rPr>
                <w:lang w:eastAsia="en-GB"/>
              </w:rPr>
            </w:pPr>
            <w:r w:rsidRPr="008E6354">
              <w:rPr>
                <w:lang w:eastAsia="en-GB"/>
              </w:rPr>
              <w:t xml:space="preserve">  - Clinical indication for request - provisional or differential diagnosis.</w:t>
            </w:r>
          </w:p>
          <w:p w14:paraId="73BE7B3E" w14:textId="77777777" w:rsidR="008E6354" w:rsidRPr="008E6354" w:rsidRDefault="008E6354" w:rsidP="008E6354">
            <w:pPr>
              <w:pStyle w:val="NoSpacing"/>
              <w:rPr>
                <w:lang w:eastAsia="en-GB"/>
              </w:rPr>
            </w:pPr>
            <w:r w:rsidRPr="008E6354">
              <w:rPr>
                <w:lang w:eastAsia="en-GB"/>
              </w:rPr>
              <w:t xml:space="preserve">  - Length of history</w:t>
            </w:r>
          </w:p>
          <w:p w14:paraId="6D8AF082" w14:textId="77777777" w:rsidR="008E6354" w:rsidRPr="0060596E" w:rsidRDefault="008E6354" w:rsidP="008E6354">
            <w:pPr>
              <w:pStyle w:val="NoSpacing"/>
              <w:rPr>
                <w:lang w:eastAsia="en-GB"/>
              </w:rPr>
            </w:pPr>
            <w:r w:rsidRPr="008E6354">
              <w:rPr>
                <w:lang w:eastAsia="en-GB"/>
              </w:rPr>
              <w:t xml:space="preserve">  - Myelogram etc. as available.</w:t>
            </w:r>
          </w:p>
        </w:tc>
      </w:tr>
      <w:tr w:rsidR="009F0B13" w:rsidRPr="00F23565" w14:paraId="06FFE8EA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6A42116F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Part of Profile / See Also</w:t>
            </w:r>
          </w:p>
        </w:tc>
        <w:tc>
          <w:tcPr>
            <w:tcW w:w="283" w:type="dxa"/>
            <w:shd w:val="clear" w:color="auto" w:fill="auto"/>
          </w:tcPr>
          <w:p w14:paraId="03A3C32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3C82F50E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303322F2" w14:textId="77777777" w:rsidTr="009F0B13">
        <w:tc>
          <w:tcPr>
            <w:tcW w:w="3119" w:type="dxa"/>
            <w:gridSpan w:val="2"/>
          </w:tcPr>
          <w:p w14:paraId="22970FC8" w14:textId="77777777" w:rsidR="00BA2D6B" w:rsidRPr="00276E72" w:rsidRDefault="00233CC3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Request F</w:t>
            </w:r>
            <w:r w:rsidR="00BA2D6B" w:rsidRPr="00276E7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</w:t>
            </w:r>
            <w:r w:rsidR="00BA2D6B" w:rsidRPr="00276E72">
              <w:rPr>
                <w:b/>
                <w:sz w:val="24"/>
              </w:rPr>
              <w:t>m</w:t>
            </w:r>
          </w:p>
        </w:tc>
        <w:tc>
          <w:tcPr>
            <w:tcW w:w="283" w:type="dxa"/>
            <w:shd w:val="clear" w:color="auto" w:fill="auto"/>
          </w:tcPr>
          <w:p w14:paraId="18453D08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343196C" w14:textId="77777777" w:rsidR="00BA2D6B" w:rsidRPr="0060596E" w:rsidRDefault="00474274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Combined Pathology manual request form or ICE request</w:t>
            </w:r>
          </w:p>
        </w:tc>
      </w:tr>
      <w:tr w:rsidR="00BA2D6B" w:rsidRPr="00F23565" w14:paraId="4DE03032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4D0682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/ Frequency of Analysis</w:t>
            </w:r>
          </w:p>
        </w:tc>
        <w:tc>
          <w:tcPr>
            <w:tcW w:w="283" w:type="dxa"/>
            <w:shd w:val="clear" w:color="auto" w:fill="auto"/>
          </w:tcPr>
          <w:p w14:paraId="3A3913B0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3AB50727" w14:textId="77777777" w:rsidR="00BA2D6B" w:rsidRPr="0060596E" w:rsidRDefault="00474274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Referred Test: </w:t>
            </w:r>
            <w:r w:rsidR="008E6354" w:rsidRPr="008E6354">
              <w:rPr>
                <w:rFonts w:asciiTheme="minorHAnsi" w:hAnsiTheme="minorHAnsi"/>
                <w:szCs w:val="22"/>
                <w:lang w:eastAsia="en-GB"/>
              </w:rPr>
              <w:t>Analysed by the Neuroimmun</w:t>
            </w:r>
            <w:r w:rsidR="00E44928">
              <w:rPr>
                <w:rFonts w:asciiTheme="minorHAnsi" w:hAnsiTheme="minorHAnsi"/>
                <w:szCs w:val="22"/>
                <w:lang w:eastAsia="en-GB"/>
              </w:rPr>
              <w:t>o</w:t>
            </w:r>
            <w:r w:rsidR="00B647BE">
              <w:rPr>
                <w:rFonts w:asciiTheme="minorHAnsi" w:hAnsiTheme="minorHAnsi"/>
                <w:szCs w:val="22"/>
                <w:lang w:eastAsia="en-GB"/>
              </w:rPr>
              <w:t>logy Department, National Hospit</w:t>
            </w:r>
            <w:r w:rsidR="008E6354" w:rsidRPr="008E6354">
              <w:rPr>
                <w:rFonts w:asciiTheme="minorHAnsi" w:hAnsiTheme="minorHAnsi"/>
                <w:szCs w:val="22"/>
                <w:lang w:eastAsia="en-GB"/>
              </w:rPr>
              <w:t>al, Queens Square, London</w:t>
            </w:r>
            <w:r w:rsidR="00CD4C33">
              <w:rPr>
                <w:rFonts w:asciiTheme="minorHAnsi" w:hAnsiTheme="minorHAnsi"/>
                <w:szCs w:val="22"/>
                <w:lang w:eastAsia="en-GB"/>
              </w:rPr>
              <w:t>,</w:t>
            </w:r>
            <w:r w:rsidR="008E6354" w:rsidRPr="008E6354">
              <w:rPr>
                <w:rFonts w:asciiTheme="minorHAnsi" w:hAnsiTheme="minorHAnsi"/>
                <w:szCs w:val="22"/>
                <w:lang w:eastAsia="en-GB"/>
              </w:rPr>
              <w:t xml:space="preserve"> if specific criteria met.</w:t>
            </w:r>
          </w:p>
        </w:tc>
      </w:tr>
      <w:tr w:rsidR="00BA2D6B" w:rsidRPr="00F23565" w14:paraId="50C20F4E" w14:textId="77777777" w:rsidTr="00BA2D6B">
        <w:tc>
          <w:tcPr>
            <w:tcW w:w="3119" w:type="dxa"/>
            <w:gridSpan w:val="2"/>
          </w:tcPr>
          <w:p w14:paraId="2CA5BD84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Turnaround Time</w:t>
            </w:r>
          </w:p>
        </w:tc>
        <w:tc>
          <w:tcPr>
            <w:tcW w:w="283" w:type="dxa"/>
            <w:shd w:val="clear" w:color="auto" w:fill="auto"/>
          </w:tcPr>
          <w:p w14:paraId="6D643223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7E469F8" w14:textId="77777777" w:rsidR="00BA2D6B" w:rsidRPr="0060596E" w:rsidRDefault="008E6354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8E6354">
              <w:rPr>
                <w:rFonts w:asciiTheme="minorHAnsi" w:hAnsiTheme="minorHAnsi"/>
                <w:szCs w:val="22"/>
              </w:rPr>
              <w:t>2 weeks</w:t>
            </w:r>
          </w:p>
        </w:tc>
      </w:tr>
      <w:tr w:rsidR="00BA2D6B" w:rsidRPr="00F23565" w14:paraId="4FD02AC6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FD216BA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Patient Preparation</w:t>
            </w:r>
          </w:p>
        </w:tc>
        <w:tc>
          <w:tcPr>
            <w:tcW w:w="283" w:type="dxa"/>
            <w:shd w:val="clear" w:color="auto" w:fill="auto"/>
          </w:tcPr>
          <w:p w14:paraId="79BEACE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2FC9AED" w14:textId="77777777" w:rsidR="00BA2D6B" w:rsidRPr="0060596E" w:rsidRDefault="008E6354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8E6354">
              <w:rPr>
                <w:rFonts w:asciiTheme="minorHAnsi" w:hAnsiTheme="minorHAnsi"/>
                <w:szCs w:val="22"/>
              </w:rPr>
              <w:t>None required</w:t>
            </w:r>
          </w:p>
        </w:tc>
      </w:tr>
      <w:tr w:rsidR="00BA2D6B" w:rsidRPr="00F23565" w14:paraId="37EDE88D" w14:textId="77777777" w:rsidTr="00BA2D6B">
        <w:tc>
          <w:tcPr>
            <w:tcW w:w="3119" w:type="dxa"/>
            <w:gridSpan w:val="2"/>
          </w:tcPr>
          <w:p w14:paraId="0005BC02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Sample Requirements</w:t>
            </w:r>
          </w:p>
        </w:tc>
        <w:tc>
          <w:tcPr>
            <w:tcW w:w="283" w:type="dxa"/>
            <w:shd w:val="clear" w:color="auto" w:fill="auto"/>
          </w:tcPr>
          <w:p w14:paraId="770A568A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62A6E6B7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5ACEC945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3CFF3C8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Specimen</w:t>
            </w:r>
            <w:r w:rsidRPr="00276E72">
              <w:rPr>
                <w:b/>
                <w:sz w:val="24"/>
              </w:rPr>
              <w:t xml:space="preserve"> Type</w:t>
            </w:r>
          </w:p>
        </w:tc>
        <w:tc>
          <w:tcPr>
            <w:tcW w:w="283" w:type="dxa"/>
            <w:shd w:val="clear" w:color="auto" w:fill="auto"/>
          </w:tcPr>
          <w:p w14:paraId="26C279BD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0DC507F4" w14:textId="77777777" w:rsidR="00BA2D6B" w:rsidRPr="0060596E" w:rsidRDefault="006D1D87" w:rsidP="006D1D87">
            <w:pPr>
              <w:pStyle w:val="NoSpacing"/>
            </w:pPr>
            <w:r>
              <w:t>I</w:t>
            </w:r>
            <w:r w:rsidR="008E6354" w:rsidRPr="008E6354">
              <w:t>t is essential that the CSF samples is accompanied by a serum sample</w:t>
            </w:r>
            <w:r w:rsidR="00C007A4">
              <w:t xml:space="preserve"> (ideally</w:t>
            </w:r>
            <w:r w:rsidR="008E6354" w:rsidRPr="008E6354">
              <w:t xml:space="preserve"> taken the same day</w:t>
            </w:r>
            <w:r w:rsidR="00C007A4">
              <w:t xml:space="preserve"> but no more than +/- 14 days)</w:t>
            </w:r>
            <w:r w:rsidR="006D4E04">
              <w:t>.</w:t>
            </w:r>
          </w:p>
        </w:tc>
      </w:tr>
      <w:tr w:rsidR="00BA2D6B" w:rsidRPr="00F23565" w14:paraId="363ED969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4A0C4DA8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Volume</w:t>
            </w:r>
          </w:p>
        </w:tc>
        <w:tc>
          <w:tcPr>
            <w:tcW w:w="283" w:type="dxa"/>
            <w:shd w:val="clear" w:color="auto" w:fill="auto"/>
          </w:tcPr>
          <w:p w14:paraId="550C0DF5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A80475F" w14:textId="77777777" w:rsidR="00BA2D6B" w:rsidRPr="0060596E" w:rsidRDefault="008E6354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8E6354">
              <w:rPr>
                <w:rFonts w:asciiTheme="minorHAnsi" w:hAnsiTheme="minorHAnsi"/>
                <w:szCs w:val="22"/>
              </w:rPr>
              <w:t>Minimum of 0.5 ml.</w:t>
            </w:r>
          </w:p>
        </w:tc>
      </w:tr>
      <w:tr w:rsidR="00BA2D6B" w:rsidRPr="00F23565" w14:paraId="63FB233A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24275914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Container</w:t>
            </w:r>
          </w:p>
        </w:tc>
        <w:tc>
          <w:tcPr>
            <w:tcW w:w="283" w:type="dxa"/>
            <w:shd w:val="clear" w:color="auto" w:fill="auto"/>
          </w:tcPr>
          <w:p w14:paraId="1491162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D0ABCDE" w14:textId="77777777" w:rsidR="00386207" w:rsidRDefault="008E6354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43F7361D" wp14:editId="7DE3CB20">
                  <wp:extent cx="2066925" cy="642568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rine_containe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172" cy="655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Pr="008E6354">
              <w:rPr>
                <w:rFonts w:asciiTheme="minorHAnsi" w:hAnsiTheme="minorHAnsi"/>
                <w:szCs w:val="22"/>
                <w:lang w:eastAsia="en-GB"/>
              </w:rPr>
              <w:t>White Capped Universal for the CSF</w:t>
            </w:r>
          </w:p>
          <w:p w14:paraId="3FFC5210" w14:textId="77777777" w:rsidR="00CD4C33" w:rsidRDefault="008E6354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26F48D9A" wp14:editId="0EE913E8">
                  <wp:extent cx="2219325" cy="4088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ST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530" cy="43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</w:p>
          <w:p w14:paraId="4DE4F93E" w14:textId="77777777" w:rsidR="008E6354" w:rsidRDefault="008E6354" w:rsidP="006D1D8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8E6354">
              <w:rPr>
                <w:rFonts w:asciiTheme="minorHAnsi" w:hAnsiTheme="minorHAnsi"/>
                <w:szCs w:val="22"/>
                <w:lang w:eastAsia="en-GB"/>
              </w:rPr>
              <w:t xml:space="preserve">Ensure blood is collected into a yellow top (SST) tube </w:t>
            </w:r>
            <w:r w:rsidR="00F12C25">
              <w:rPr>
                <w:rFonts w:asciiTheme="minorHAnsi" w:hAnsiTheme="minorHAnsi"/>
                <w:szCs w:val="22"/>
                <w:lang w:eastAsia="en-GB"/>
              </w:rPr>
              <w:t xml:space="preserve">preferably. It is also acceptable to collect blood into a green top lithium heparin tube. </w:t>
            </w:r>
          </w:p>
          <w:p w14:paraId="643A99A9" w14:textId="77777777" w:rsidR="00352B8B" w:rsidRDefault="00352B8B" w:rsidP="006D1D8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Or </w:t>
            </w:r>
            <w:r>
              <w:rPr>
                <w:noProof/>
                <w:lang w:eastAsia="en-GB"/>
              </w:rPr>
              <w:drawing>
                <wp:inline distT="0" distB="0" distL="0" distR="0" wp14:anchorId="1EAD5F49" wp14:editId="7C2D293D">
                  <wp:extent cx="1485900" cy="4476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Paediatric SST (Brown top – Sarstedt tube)</w:t>
            </w:r>
          </w:p>
          <w:p w14:paraId="3725D5F1" w14:textId="77777777" w:rsidR="00352B8B" w:rsidRDefault="003B66A7" w:rsidP="006D1D8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Or </w:t>
            </w:r>
            <w:r>
              <w:rPr>
                <w:noProof/>
                <w:lang w:eastAsia="en-GB"/>
              </w:rPr>
              <w:drawing>
                <wp:inline distT="0" distB="0" distL="0" distR="0" wp14:anchorId="6B94126D" wp14:editId="2A93D6CF">
                  <wp:extent cx="1569701" cy="4781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159" cy="48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Paediatric </w:t>
            </w:r>
            <w:r w:rsidR="00352B8B">
              <w:rPr>
                <w:rFonts w:asciiTheme="minorHAnsi" w:hAnsiTheme="minorHAnsi"/>
                <w:szCs w:val="22"/>
                <w:lang w:eastAsia="en-GB"/>
              </w:rPr>
              <w:t>SST (Yellow top – BD Microtainer)</w:t>
            </w:r>
          </w:p>
          <w:p w14:paraId="418D4775" w14:textId="77777777" w:rsidR="003B66A7" w:rsidRPr="0060596E" w:rsidRDefault="003B66A7" w:rsidP="006D1D8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</w:p>
        </w:tc>
      </w:tr>
      <w:tr w:rsidR="00BA2D6B" w:rsidRPr="00F23565" w14:paraId="67D128BA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4834C1A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 R</w:t>
            </w:r>
            <w:r w:rsidRPr="00276E72">
              <w:rPr>
                <w:b/>
                <w:sz w:val="24"/>
              </w:rPr>
              <w:t xml:space="preserve">ange </w:t>
            </w:r>
            <w:r>
              <w:rPr>
                <w:b/>
                <w:sz w:val="24"/>
              </w:rPr>
              <w:t>&amp;</w:t>
            </w:r>
            <w:r w:rsidRPr="00276E72">
              <w:rPr>
                <w:b/>
                <w:sz w:val="24"/>
              </w:rPr>
              <w:t xml:space="preserve"> Units</w:t>
            </w:r>
          </w:p>
        </w:tc>
        <w:tc>
          <w:tcPr>
            <w:tcW w:w="283" w:type="dxa"/>
            <w:shd w:val="clear" w:color="auto" w:fill="auto"/>
          </w:tcPr>
          <w:p w14:paraId="2C0B47B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47CB92F2" w14:textId="77777777" w:rsidR="00BA2D6B" w:rsidRPr="0060596E" w:rsidRDefault="00BA2D6B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</w:p>
        </w:tc>
      </w:tr>
      <w:tr w:rsidR="00BA2D6B" w:rsidRPr="00F23565" w14:paraId="4FDF5A0F" w14:textId="77777777" w:rsidTr="00BA2D6B">
        <w:tc>
          <w:tcPr>
            <w:tcW w:w="3119" w:type="dxa"/>
            <w:gridSpan w:val="2"/>
          </w:tcPr>
          <w:p w14:paraId="5E14471A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Interferences</w:t>
            </w:r>
          </w:p>
        </w:tc>
        <w:tc>
          <w:tcPr>
            <w:tcW w:w="283" w:type="dxa"/>
            <w:shd w:val="clear" w:color="auto" w:fill="auto"/>
          </w:tcPr>
          <w:p w14:paraId="4AF8A0FD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F44DD02" w14:textId="77777777" w:rsidR="00BA2D6B" w:rsidRPr="0060596E" w:rsidRDefault="006D4E04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Haemolysed samples may be unsuitable for analysis</w:t>
            </w:r>
          </w:p>
        </w:tc>
      </w:tr>
      <w:tr w:rsidR="00BA2D6B" w:rsidRPr="00F23565" w14:paraId="3C5DFEDF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468EE477" w14:textId="77777777" w:rsidR="00BA2D6B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 xml:space="preserve">Interpretation &amp; Clinical </w:t>
            </w:r>
          </w:p>
          <w:p w14:paraId="72DF7C19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Decision Value (if applicable)</w:t>
            </w:r>
          </w:p>
        </w:tc>
        <w:tc>
          <w:tcPr>
            <w:tcW w:w="283" w:type="dxa"/>
            <w:shd w:val="clear" w:color="auto" w:fill="auto"/>
          </w:tcPr>
          <w:p w14:paraId="02A8C73E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1FF04841" w14:textId="77777777" w:rsidR="006D1D87" w:rsidRDefault="006D1D87" w:rsidP="006D1D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A paired serum is required for interpretation</w:t>
            </w:r>
            <w:r w:rsidR="0035401A">
              <w:rPr>
                <w:rFonts w:asciiTheme="minorHAnsi" w:hAnsiTheme="minorHAnsi"/>
                <w:szCs w:val="22"/>
                <w:lang w:eastAsia="en-GB"/>
              </w:rPr>
              <w:t xml:space="preserve"> (this can be taken a maximum of 14 days from the CSF sample)</w:t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. </w:t>
            </w:r>
          </w:p>
          <w:p w14:paraId="601097F7" w14:textId="77777777" w:rsidR="0073086B" w:rsidRDefault="008E6354" w:rsidP="007308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8E6354">
              <w:rPr>
                <w:rFonts w:asciiTheme="minorHAnsi" w:hAnsiTheme="minorHAnsi"/>
                <w:szCs w:val="22"/>
                <w:lang w:eastAsia="en-GB"/>
              </w:rPr>
              <w:lastRenderedPageBreak/>
              <w:t xml:space="preserve">Oligoclonal bands </w:t>
            </w:r>
            <w:r w:rsidR="00352B8B">
              <w:rPr>
                <w:rFonts w:asciiTheme="minorHAnsi" w:hAnsiTheme="minorHAnsi"/>
                <w:szCs w:val="22"/>
                <w:lang w:eastAsia="en-GB"/>
              </w:rPr>
              <w:t>in CSF</w:t>
            </w:r>
            <w:r w:rsidR="0073086B">
              <w:rPr>
                <w:rFonts w:asciiTheme="minorHAnsi" w:hAnsiTheme="minorHAnsi"/>
                <w:szCs w:val="22"/>
                <w:lang w:eastAsia="en-GB"/>
              </w:rPr>
              <w:t xml:space="preserve"> indicates local synthesis in the CNS and</w:t>
            </w:r>
            <w:r w:rsidR="00352B8B"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Pr="008E6354">
              <w:rPr>
                <w:rFonts w:asciiTheme="minorHAnsi" w:hAnsiTheme="minorHAnsi"/>
                <w:szCs w:val="22"/>
                <w:lang w:eastAsia="en-GB"/>
              </w:rPr>
              <w:t xml:space="preserve">will be found in </w:t>
            </w:r>
            <w:r w:rsidR="006D1D87" w:rsidRPr="006D1D87">
              <w:rPr>
                <w:rFonts w:asciiTheme="minorHAnsi" w:hAnsiTheme="minorHAnsi"/>
                <w:szCs w:val="22"/>
                <w:lang w:eastAsia="en-GB"/>
              </w:rPr>
              <w:t>up to 95 percent of patients with clinically definite MS</w:t>
            </w:r>
            <w:r w:rsidRPr="008E6354">
              <w:rPr>
                <w:rFonts w:asciiTheme="minorHAnsi" w:hAnsiTheme="minorHAnsi"/>
                <w:szCs w:val="22"/>
                <w:lang w:eastAsia="en-GB"/>
              </w:rPr>
              <w:t>, but may also be fou</w:t>
            </w:r>
            <w:r w:rsidR="0073086B">
              <w:rPr>
                <w:rFonts w:asciiTheme="minorHAnsi" w:hAnsiTheme="minorHAnsi"/>
                <w:szCs w:val="22"/>
                <w:lang w:eastAsia="en-GB"/>
              </w:rPr>
              <w:t>nd in infections or autoimmune diseases</w:t>
            </w:r>
            <w:r w:rsidRPr="008E6354">
              <w:rPr>
                <w:rFonts w:asciiTheme="minorHAnsi" w:hAnsiTheme="minorHAnsi"/>
                <w:szCs w:val="22"/>
                <w:lang w:eastAsia="en-GB"/>
              </w:rPr>
              <w:t xml:space="preserve"> affecting the CNS. </w:t>
            </w:r>
          </w:p>
          <w:p w14:paraId="77A2D1F8" w14:textId="77777777" w:rsidR="00BA2D6B" w:rsidRPr="0060596E" w:rsidRDefault="008E6354" w:rsidP="007308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8E6354">
              <w:rPr>
                <w:rFonts w:asciiTheme="minorHAnsi" w:hAnsiTheme="minorHAnsi"/>
                <w:szCs w:val="22"/>
                <w:lang w:eastAsia="en-GB"/>
              </w:rPr>
              <w:t xml:space="preserve">Presence of identical oligoclonal bands in both CSF and serum suggests </w:t>
            </w:r>
            <w:r w:rsidR="0073086B">
              <w:rPr>
                <w:rFonts w:asciiTheme="minorHAnsi" w:hAnsiTheme="minorHAnsi"/>
                <w:szCs w:val="22"/>
                <w:lang w:eastAsia="en-GB"/>
              </w:rPr>
              <w:t xml:space="preserve">passive transfer of oligoclonal IgG from a systemic inflammatory response. This pattern is more common in peripheral neuropathies, Guillain-Barre syndrome, systemic autoimmune diseases and systemic infections. It is unlikely that such a pattern indicated MS. </w:t>
            </w:r>
          </w:p>
        </w:tc>
      </w:tr>
      <w:tr w:rsidR="00BA2D6B" w:rsidRPr="00F23565" w14:paraId="067EF5A9" w14:textId="77777777" w:rsidTr="00BA2D6B">
        <w:tc>
          <w:tcPr>
            <w:tcW w:w="3119" w:type="dxa"/>
            <w:gridSpan w:val="2"/>
          </w:tcPr>
          <w:p w14:paraId="7D077A83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lastRenderedPageBreak/>
              <w:t>References</w:t>
            </w:r>
          </w:p>
        </w:tc>
        <w:tc>
          <w:tcPr>
            <w:tcW w:w="283" w:type="dxa"/>
            <w:shd w:val="clear" w:color="auto" w:fill="auto"/>
          </w:tcPr>
          <w:p w14:paraId="22F3FB10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04F357E1" w14:textId="77777777" w:rsidR="00BA2D6B" w:rsidRPr="0060596E" w:rsidRDefault="007308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UCLH National Hospital Neuroimmunology Handbook</w:t>
            </w:r>
          </w:p>
        </w:tc>
      </w:tr>
      <w:tr w:rsidR="00BA2D6B" w:rsidRPr="00F23565" w14:paraId="5B0E960D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4FA2FA3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Test code</w:t>
            </w:r>
          </w:p>
        </w:tc>
        <w:tc>
          <w:tcPr>
            <w:tcW w:w="283" w:type="dxa"/>
            <w:shd w:val="clear" w:color="auto" w:fill="auto"/>
          </w:tcPr>
          <w:p w14:paraId="3A669F39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0DF715DE" w14:textId="77777777" w:rsidR="00BA2D6B" w:rsidRPr="0060596E" w:rsidRDefault="008E6354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OLIG</w:t>
            </w:r>
          </w:p>
        </w:tc>
      </w:tr>
      <w:tr w:rsidR="00EE61A4" w:rsidRPr="00F23565" w14:paraId="7B18B3B1" w14:textId="77777777" w:rsidTr="00EE61A4">
        <w:tc>
          <w:tcPr>
            <w:tcW w:w="3119" w:type="dxa"/>
            <w:gridSpan w:val="2"/>
            <w:shd w:val="clear" w:color="auto" w:fill="auto"/>
          </w:tcPr>
          <w:p w14:paraId="599F5799" w14:textId="77777777" w:rsidR="00EE61A4" w:rsidRDefault="00EE61A4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Lab Handling</w:t>
            </w:r>
          </w:p>
        </w:tc>
        <w:tc>
          <w:tcPr>
            <w:tcW w:w="283" w:type="dxa"/>
            <w:shd w:val="clear" w:color="auto" w:fill="auto"/>
          </w:tcPr>
          <w:p w14:paraId="50F0717B" w14:textId="77777777" w:rsidR="00EE61A4" w:rsidRDefault="00EE61A4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14:paraId="333E60EA" w14:textId="77777777" w:rsidR="00EE61A4" w:rsidRPr="0060596E" w:rsidRDefault="008E6354" w:rsidP="00C007A4">
            <w:pPr>
              <w:pStyle w:val="NoSpacing"/>
              <w:rPr>
                <w:rFonts w:asciiTheme="minorHAnsi" w:hAnsiTheme="minorHAnsi"/>
                <w:szCs w:val="22"/>
              </w:rPr>
            </w:pPr>
            <w:r w:rsidRPr="008E6354">
              <w:rPr>
                <w:rFonts w:asciiTheme="minorHAnsi" w:hAnsiTheme="minorHAnsi"/>
                <w:szCs w:val="22"/>
              </w:rPr>
              <w:t>Aliquot the serum and CSF and store</w:t>
            </w:r>
            <w:r w:rsidR="00C007A4">
              <w:rPr>
                <w:rFonts w:asciiTheme="minorHAnsi" w:hAnsiTheme="minorHAnsi"/>
                <w:szCs w:val="22"/>
              </w:rPr>
              <w:t xml:space="preserve"> in the referrals rack</w:t>
            </w:r>
            <w:r w:rsidRPr="008E6354">
              <w:rPr>
                <w:rFonts w:asciiTheme="minorHAnsi" w:hAnsiTheme="minorHAnsi"/>
                <w:szCs w:val="22"/>
              </w:rPr>
              <w:t xml:space="preserve"> at 4°C</w:t>
            </w:r>
            <w:r w:rsidR="00CD4C33">
              <w:rPr>
                <w:rFonts w:asciiTheme="minorHAnsi" w:hAnsiTheme="minorHAnsi"/>
                <w:szCs w:val="22"/>
              </w:rPr>
              <w:t xml:space="preserve">. </w:t>
            </w:r>
            <w:r w:rsidR="00C007A4">
              <w:rPr>
                <w:rFonts w:asciiTheme="minorHAnsi" w:hAnsiTheme="minorHAnsi"/>
                <w:szCs w:val="22"/>
              </w:rPr>
              <w:t>Clearly label the aliquots with the sample type (CSF or serum). If serum was not sent with the CSF then search the patient record for a serum sample within 14 days of the CSF and this can be used as the paired serum. Sent daily by courier to Neuroimmunology, National Hospital, London.</w:t>
            </w:r>
          </w:p>
        </w:tc>
      </w:tr>
    </w:tbl>
    <w:p w14:paraId="7DB28076" w14:textId="13DD5342" w:rsidR="00F62ED0" w:rsidRPr="000319DA" w:rsidRDefault="007942BF" w:rsidP="00EE61A4">
      <w:pPr>
        <w:spacing w:line="360" w:lineRule="auto"/>
      </w:pPr>
      <w:r w:rsidRPr="00074995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CCFB6A9" wp14:editId="77F4572E">
            <wp:simplePos x="0" y="0"/>
            <wp:positionH relativeFrom="margin">
              <wp:align>right</wp:align>
            </wp:positionH>
            <wp:positionV relativeFrom="paragraph">
              <wp:posOffset>182880</wp:posOffset>
            </wp:positionV>
            <wp:extent cx="450839" cy="762635"/>
            <wp:effectExtent l="0" t="0" r="6985" b="0"/>
            <wp:wrapNone/>
            <wp:docPr id="120896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9615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39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2ED0" w:rsidRPr="000319DA" w:rsidSect="000319DA">
      <w:headerReference w:type="default" r:id="rId12"/>
      <w:footerReference w:type="default" r:id="rId13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E7B" w14:textId="77777777" w:rsidR="00B01939" w:rsidRDefault="00B01939">
      <w:r>
        <w:separator/>
      </w:r>
    </w:p>
    <w:p w14:paraId="4D592635" w14:textId="77777777" w:rsidR="00B01939" w:rsidRDefault="00B01939"/>
    <w:p w14:paraId="701B8AB4" w14:textId="77777777" w:rsidR="00B01939" w:rsidRDefault="00B01939"/>
    <w:p w14:paraId="6BA51838" w14:textId="77777777" w:rsidR="00B01939" w:rsidRDefault="00B01939"/>
    <w:p w14:paraId="379F0DDC" w14:textId="77777777" w:rsidR="00B01939" w:rsidRDefault="00B01939"/>
    <w:p w14:paraId="6BE391F4" w14:textId="77777777" w:rsidR="00B01939" w:rsidRDefault="00B01939"/>
    <w:p w14:paraId="14632019" w14:textId="77777777" w:rsidR="00B01939" w:rsidRDefault="00B01939"/>
    <w:p w14:paraId="39D32CA2" w14:textId="77777777" w:rsidR="00B01939" w:rsidRDefault="00B01939"/>
    <w:p w14:paraId="75641C9D" w14:textId="77777777" w:rsidR="00B01939" w:rsidRDefault="00B01939"/>
  </w:endnote>
  <w:endnote w:type="continuationSeparator" w:id="0">
    <w:p w14:paraId="59665708" w14:textId="77777777" w:rsidR="00B01939" w:rsidRDefault="00B01939">
      <w:r>
        <w:continuationSeparator/>
      </w:r>
    </w:p>
    <w:p w14:paraId="4625A2BA" w14:textId="77777777" w:rsidR="00B01939" w:rsidRDefault="00B01939"/>
    <w:p w14:paraId="2CE084BA" w14:textId="77777777" w:rsidR="00B01939" w:rsidRDefault="00B01939"/>
    <w:p w14:paraId="3C508E2A" w14:textId="77777777" w:rsidR="00B01939" w:rsidRDefault="00B01939"/>
    <w:p w14:paraId="796ABCBE" w14:textId="77777777" w:rsidR="00B01939" w:rsidRDefault="00B01939"/>
    <w:p w14:paraId="0ED7BCE9" w14:textId="77777777" w:rsidR="00B01939" w:rsidRDefault="00B01939"/>
    <w:p w14:paraId="0577021A" w14:textId="77777777" w:rsidR="00B01939" w:rsidRDefault="00B01939"/>
    <w:p w14:paraId="41984F8D" w14:textId="77777777" w:rsidR="00B01939" w:rsidRDefault="00B01939"/>
    <w:p w14:paraId="0B309F3B" w14:textId="77777777" w:rsidR="00B01939" w:rsidRDefault="00B01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E222" w14:textId="77777777" w:rsidR="00352B8B" w:rsidRPr="007825B1" w:rsidRDefault="00352B8B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00500E38" w14:textId="15C77A56" w:rsidR="00352B8B" w:rsidRPr="00276E72" w:rsidRDefault="009916BC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1.3</w:t>
    </w:r>
    <w:r w:rsidR="00F12C25">
      <w:rPr>
        <w:b/>
        <w:bCs/>
        <w:sz w:val="16"/>
      </w:rPr>
      <w:t xml:space="preserve">/ </w:t>
    </w:r>
    <w:r w:rsidR="007942BF">
      <w:rPr>
        <w:b/>
        <w:bCs/>
        <w:sz w:val="16"/>
      </w:rPr>
      <w:t>Sept</w:t>
    </w:r>
    <w:r w:rsidR="00F12C25">
      <w:rPr>
        <w:b/>
        <w:bCs/>
        <w:sz w:val="16"/>
      </w:rPr>
      <w:t>ember 202</w:t>
    </w:r>
    <w:r w:rsidR="007942BF">
      <w:rPr>
        <w:b/>
        <w:bCs/>
        <w:sz w:val="16"/>
      </w:rPr>
      <w:t>3</w:t>
    </w:r>
    <w:r w:rsidR="00352B8B" w:rsidRPr="00276E72">
      <w:rPr>
        <w:b/>
        <w:bCs/>
        <w:sz w:val="16"/>
      </w:rPr>
      <w:ptab w:relativeTo="margin" w:alignment="center" w:leader="none"/>
    </w:r>
    <w:r w:rsidR="00352B8B" w:rsidRPr="00276E72">
      <w:rPr>
        <w:b/>
        <w:bCs/>
        <w:sz w:val="16"/>
      </w:rPr>
      <w:t xml:space="preserve">Approved by: </w:t>
    </w:r>
    <w:r w:rsidR="00352B8B">
      <w:rPr>
        <w:b/>
        <w:bCs/>
        <w:sz w:val="16"/>
      </w:rPr>
      <w:t>Consultant Biochemist</w:t>
    </w:r>
    <w:r w:rsidR="00352B8B" w:rsidRPr="00276E72">
      <w:rPr>
        <w:b/>
        <w:bCs/>
        <w:sz w:val="16"/>
      </w:rPr>
      <w:tab/>
    </w:r>
    <w:r w:rsidR="00352B8B" w:rsidRPr="00276E72">
      <w:rPr>
        <w:b/>
        <w:bCs/>
        <w:sz w:val="16"/>
        <w:lang w:val="en-US"/>
      </w:rPr>
      <w:t xml:space="preserve">Page </w:t>
    </w:r>
    <w:r w:rsidR="00352B8B" w:rsidRPr="00276E72">
      <w:rPr>
        <w:b/>
        <w:bCs/>
        <w:sz w:val="16"/>
        <w:lang w:val="en-US"/>
      </w:rPr>
      <w:fldChar w:fldCharType="begin"/>
    </w:r>
    <w:r w:rsidR="00352B8B" w:rsidRPr="00276E72">
      <w:rPr>
        <w:b/>
        <w:bCs/>
        <w:sz w:val="16"/>
        <w:lang w:val="en-US"/>
      </w:rPr>
      <w:instrText xml:space="preserve"> PAGE </w:instrText>
    </w:r>
    <w:r w:rsidR="00352B8B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352B8B" w:rsidRPr="00276E72">
      <w:rPr>
        <w:b/>
        <w:bCs/>
        <w:sz w:val="16"/>
        <w:lang w:val="en-US"/>
      </w:rPr>
      <w:fldChar w:fldCharType="end"/>
    </w:r>
    <w:r w:rsidR="00352B8B" w:rsidRPr="00276E72">
      <w:rPr>
        <w:b/>
        <w:bCs/>
        <w:sz w:val="16"/>
        <w:lang w:val="en-US"/>
      </w:rPr>
      <w:t xml:space="preserve"> of </w:t>
    </w:r>
    <w:r w:rsidR="00352B8B" w:rsidRPr="00276E72">
      <w:rPr>
        <w:b/>
        <w:bCs/>
        <w:sz w:val="16"/>
        <w:lang w:val="en-US"/>
      </w:rPr>
      <w:fldChar w:fldCharType="begin"/>
    </w:r>
    <w:r w:rsidR="00352B8B" w:rsidRPr="00276E72">
      <w:rPr>
        <w:b/>
        <w:bCs/>
        <w:sz w:val="16"/>
        <w:lang w:val="en-US"/>
      </w:rPr>
      <w:instrText xml:space="preserve"> NUMPAGES </w:instrText>
    </w:r>
    <w:r w:rsidR="00352B8B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2</w:t>
    </w:r>
    <w:r w:rsidR="00352B8B"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04A9" w14:textId="77777777" w:rsidR="00B01939" w:rsidRDefault="00B01939">
      <w:r>
        <w:separator/>
      </w:r>
    </w:p>
    <w:p w14:paraId="5310B2FE" w14:textId="77777777" w:rsidR="00B01939" w:rsidRDefault="00B01939"/>
    <w:p w14:paraId="42AF8DD2" w14:textId="77777777" w:rsidR="00B01939" w:rsidRDefault="00B01939"/>
    <w:p w14:paraId="63E07912" w14:textId="77777777" w:rsidR="00B01939" w:rsidRDefault="00B01939"/>
    <w:p w14:paraId="359181D4" w14:textId="77777777" w:rsidR="00B01939" w:rsidRDefault="00B01939"/>
    <w:p w14:paraId="2A2E7723" w14:textId="77777777" w:rsidR="00B01939" w:rsidRDefault="00B01939"/>
    <w:p w14:paraId="539D3A61" w14:textId="77777777" w:rsidR="00B01939" w:rsidRDefault="00B01939"/>
    <w:p w14:paraId="51D56BB6" w14:textId="77777777" w:rsidR="00B01939" w:rsidRDefault="00B01939"/>
    <w:p w14:paraId="0392021B" w14:textId="77777777" w:rsidR="00B01939" w:rsidRDefault="00B01939"/>
  </w:footnote>
  <w:footnote w:type="continuationSeparator" w:id="0">
    <w:p w14:paraId="0608FBA6" w14:textId="77777777" w:rsidR="00B01939" w:rsidRDefault="00B01939">
      <w:r>
        <w:continuationSeparator/>
      </w:r>
    </w:p>
    <w:p w14:paraId="21AAC6E7" w14:textId="77777777" w:rsidR="00B01939" w:rsidRDefault="00B01939"/>
    <w:p w14:paraId="2F9D5D37" w14:textId="77777777" w:rsidR="00B01939" w:rsidRDefault="00B01939"/>
    <w:p w14:paraId="430DE3E4" w14:textId="77777777" w:rsidR="00B01939" w:rsidRDefault="00B01939"/>
    <w:p w14:paraId="06EC84AA" w14:textId="77777777" w:rsidR="00B01939" w:rsidRDefault="00B01939"/>
    <w:p w14:paraId="3AAA1146" w14:textId="77777777" w:rsidR="00B01939" w:rsidRDefault="00B01939"/>
    <w:p w14:paraId="29658804" w14:textId="77777777" w:rsidR="00B01939" w:rsidRDefault="00B01939"/>
    <w:p w14:paraId="371FD646" w14:textId="77777777" w:rsidR="00B01939" w:rsidRDefault="00B01939"/>
    <w:p w14:paraId="5B6C0695" w14:textId="77777777" w:rsidR="00B01939" w:rsidRDefault="00B019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61FD" w14:textId="23BFCB27" w:rsidR="00352B8B" w:rsidRDefault="007942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9C7FFC4" wp14:editId="142E4F06">
          <wp:simplePos x="0" y="0"/>
          <wp:positionH relativeFrom="margin">
            <wp:posOffset>5016500</wp:posOffset>
          </wp:positionH>
          <wp:positionV relativeFrom="paragraph">
            <wp:posOffset>3810</wp:posOffset>
          </wp:positionV>
          <wp:extent cx="1473200" cy="492587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492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5BCF72" w14:textId="77777777" w:rsidR="00352B8B" w:rsidRDefault="00352B8B">
    <w:pPr>
      <w:pStyle w:val="Header"/>
    </w:pPr>
  </w:p>
  <w:p w14:paraId="4A322C85" w14:textId="77777777" w:rsidR="00352B8B" w:rsidRDefault="00352B8B">
    <w:pPr>
      <w:pStyle w:val="Header"/>
    </w:pPr>
  </w:p>
  <w:p w14:paraId="01E2B792" w14:textId="77777777" w:rsidR="00352B8B" w:rsidRDefault="00352B8B" w:rsidP="007825B1">
    <w:pPr>
      <w:pStyle w:val="Header"/>
      <w:jc w:val="right"/>
      <w:rPr>
        <w:sz w:val="14"/>
        <w:szCs w:val="14"/>
      </w:rPr>
    </w:pPr>
  </w:p>
  <w:p w14:paraId="71A919ED" w14:textId="77777777" w:rsidR="00352B8B" w:rsidRPr="00276E72" w:rsidRDefault="00352B8B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PF-PTD-107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049134">
    <w:abstractNumId w:val="3"/>
  </w:num>
  <w:num w:numId="2" w16cid:durableId="1899124851">
    <w:abstractNumId w:val="2"/>
  </w:num>
  <w:num w:numId="3" w16cid:durableId="1011876731">
    <w:abstractNumId w:val="1"/>
  </w:num>
  <w:num w:numId="4" w16cid:durableId="1907301750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1690181695">
    <w:abstractNumId w:val="4"/>
  </w:num>
  <w:num w:numId="6" w16cid:durableId="211478775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54"/>
    <w:rsid w:val="000179B3"/>
    <w:rsid w:val="00020BD4"/>
    <w:rsid w:val="000243C1"/>
    <w:rsid w:val="0002557F"/>
    <w:rsid w:val="000319DA"/>
    <w:rsid w:val="00031CF3"/>
    <w:rsid w:val="00051A93"/>
    <w:rsid w:val="00093E60"/>
    <w:rsid w:val="000A0B79"/>
    <w:rsid w:val="000B0741"/>
    <w:rsid w:val="000B2B1F"/>
    <w:rsid w:val="000B6041"/>
    <w:rsid w:val="000D4ACB"/>
    <w:rsid w:val="00110081"/>
    <w:rsid w:val="00142C02"/>
    <w:rsid w:val="00143405"/>
    <w:rsid w:val="0014577D"/>
    <w:rsid w:val="001524D3"/>
    <w:rsid w:val="00165531"/>
    <w:rsid w:val="001A192D"/>
    <w:rsid w:val="001A3B8C"/>
    <w:rsid w:val="001B38FF"/>
    <w:rsid w:val="001C3A05"/>
    <w:rsid w:val="001C64B0"/>
    <w:rsid w:val="001C7ACD"/>
    <w:rsid w:val="001E737A"/>
    <w:rsid w:val="00200287"/>
    <w:rsid w:val="00213A85"/>
    <w:rsid w:val="002334DE"/>
    <w:rsid w:val="00233CC3"/>
    <w:rsid w:val="00241B5E"/>
    <w:rsid w:val="00250845"/>
    <w:rsid w:val="00276E72"/>
    <w:rsid w:val="00280D13"/>
    <w:rsid w:val="0029197D"/>
    <w:rsid w:val="002A52E6"/>
    <w:rsid w:val="002D4953"/>
    <w:rsid w:val="002F2660"/>
    <w:rsid w:val="002F7581"/>
    <w:rsid w:val="0030270A"/>
    <w:rsid w:val="003036FA"/>
    <w:rsid w:val="0030417D"/>
    <w:rsid w:val="0033595A"/>
    <w:rsid w:val="003371FF"/>
    <w:rsid w:val="00352B8B"/>
    <w:rsid w:val="0035401A"/>
    <w:rsid w:val="00363775"/>
    <w:rsid w:val="00367EB8"/>
    <w:rsid w:val="00370B73"/>
    <w:rsid w:val="00373ACB"/>
    <w:rsid w:val="003840AF"/>
    <w:rsid w:val="00386207"/>
    <w:rsid w:val="003A52BD"/>
    <w:rsid w:val="003B66A7"/>
    <w:rsid w:val="003D6C00"/>
    <w:rsid w:val="003E05C3"/>
    <w:rsid w:val="003F6428"/>
    <w:rsid w:val="003F644E"/>
    <w:rsid w:val="00410ABF"/>
    <w:rsid w:val="0041586F"/>
    <w:rsid w:val="0041597C"/>
    <w:rsid w:val="00423758"/>
    <w:rsid w:val="00426C78"/>
    <w:rsid w:val="00427A2F"/>
    <w:rsid w:val="0044325B"/>
    <w:rsid w:val="00473B09"/>
    <w:rsid w:val="00474274"/>
    <w:rsid w:val="00475BA0"/>
    <w:rsid w:val="0048376D"/>
    <w:rsid w:val="0049210F"/>
    <w:rsid w:val="00494CC5"/>
    <w:rsid w:val="004D07C8"/>
    <w:rsid w:val="004D304C"/>
    <w:rsid w:val="004E481B"/>
    <w:rsid w:val="004F3027"/>
    <w:rsid w:val="004F3E2E"/>
    <w:rsid w:val="004F5E94"/>
    <w:rsid w:val="00501C60"/>
    <w:rsid w:val="00504AC8"/>
    <w:rsid w:val="00512E60"/>
    <w:rsid w:val="0053496A"/>
    <w:rsid w:val="005374CD"/>
    <w:rsid w:val="00545D5C"/>
    <w:rsid w:val="0054742D"/>
    <w:rsid w:val="00552AB8"/>
    <w:rsid w:val="00555982"/>
    <w:rsid w:val="0057795B"/>
    <w:rsid w:val="0059753C"/>
    <w:rsid w:val="005A32CD"/>
    <w:rsid w:val="005A7813"/>
    <w:rsid w:val="005B6FE9"/>
    <w:rsid w:val="005C36CC"/>
    <w:rsid w:val="005F0E4D"/>
    <w:rsid w:val="00601E6A"/>
    <w:rsid w:val="00601F7D"/>
    <w:rsid w:val="0060596E"/>
    <w:rsid w:val="00605B72"/>
    <w:rsid w:val="00606970"/>
    <w:rsid w:val="00614FDA"/>
    <w:rsid w:val="00620713"/>
    <w:rsid w:val="006258E1"/>
    <w:rsid w:val="00634B46"/>
    <w:rsid w:val="006355A1"/>
    <w:rsid w:val="00636902"/>
    <w:rsid w:val="006526F9"/>
    <w:rsid w:val="00680B7A"/>
    <w:rsid w:val="006953C8"/>
    <w:rsid w:val="006A0229"/>
    <w:rsid w:val="006B1129"/>
    <w:rsid w:val="006C0968"/>
    <w:rsid w:val="006C27F8"/>
    <w:rsid w:val="006D1D87"/>
    <w:rsid w:val="006D4E04"/>
    <w:rsid w:val="006D5410"/>
    <w:rsid w:val="006E029A"/>
    <w:rsid w:val="006E034F"/>
    <w:rsid w:val="006E4CA7"/>
    <w:rsid w:val="006E690F"/>
    <w:rsid w:val="006F33F6"/>
    <w:rsid w:val="00715F32"/>
    <w:rsid w:val="00722436"/>
    <w:rsid w:val="007301C5"/>
    <w:rsid w:val="0073086B"/>
    <w:rsid w:val="00732555"/>
    <w:rsid w:val="0073291F"/>
    <w:rsid w:val="00755A82"/>
    <w:rsid w:val="00757FB0"/>
    <w:rsid w:val="00761A5F"/>
    <w:rsid w:val="00765D50"/>
    <w:rsid w:val="007746F8"/>
    <w:rsid w:val="007825B1"/>
    <w:rsid w:val="007942BF"/>
    <w:rsid w:val="007C17F2"/>
    <w:rsid w:val="007E4EAA"/>
    <w:rsid w:val="007E57E7"/>
    <w:rsid w:val="007E5EAC"/>
    <w:rsid w:val="007F0870"/>
    <w:rsid w:val="007F4369"/>
    <w:rsid w:val="008065F7"/>
    <w:rsid w:val="008207F8"/>
    <w:rsid w:val="00833508"/>
    <w:rsid w:val="00845B7D"/>
    <w:rsid w:val="00853B27"/>
    <w:rsid w:val="0087739A"/>
    <w:rsid w:val="008801A5"/>
    <w:rsid w:val="00886BFD"/>
    <w:rsid w:val="00891DBE"/>
    <w:rsid w:val="008B5D0A"/>
    <w:rsid w:val="008C4CC6"/>
    <w:rsid w:val="008C6F9E"/>
    <w:rsid w:val="008E0A02"/>
    <w:rsid w:val="008E102A"/>
    <w:rsid w:val="008E4DE2"/>
    <w:rsid w:val="008E6354"/>
    <w:rsid w:val="008F12AD"/>
    <w:rsid w:val="009069F2"/>
    <w:rsid w:val="00914118"/>
    <w:rsid w:val="00922766"/>
    <w:rsid w:val="009255AD"/>
    <w:rsid w:val="00951DF8"/>
    <w:rsid w:val="00970680"/>
    <w:rsid w:val="0097149C"/>
    <w:rsid w:val="009916BC"/>
    <w:rsid w:val="009A76AF"/>
    <w:rsid w:val="009B2D06"/>
    <w:rsid w:val="009B6924"/>
    <w:rsid w:val="009B6E23"/>
    <w:rsid w:val="009D4893"/>
    <w:rsid w:val="009E1DFB"/>
    <w:rsid w:val="009F0B13"/>
    <w:rsid w:val="00A12E22"/>
    <w:rsid w:val="00A22D4E"/>
    <w:rsid w:val="00A42096"/>
    <w:rsid w:val="00A50F38"/>
    <w:rsid w:val="00A6576B"/>
    <w:rsid w:val="00A70983"/>
    <w:rsid w:val="00A9048F"/>
    <w:rsid w:val="00AB7923"/>
    <w:rsid w:val="00AE023A"/>
    <w:rsid w:val="00AE0D3C"/>
    <w:rsid w:val="00AE4225"/>
    <w:rsid w:val="00AE4EF9"/>
    <w:rsid w:val="00AF5D38"/>
    <w:rsid w:val="00AF7E21"/>
    <w:rsid w:val="00B001E0"/>
    <w:rsid w:val="00B01939"/>
    <w:rsid w:val="00B03F45"/>
    <w:rsid w:val="00B04F31"/>
    <w:rsid w:val="00B34F39"/>
    <w:rsid w:val="00B42D94"/>
    <w:rsid w:val="00B647BE"/>
    <w:rsid w:val="00BA2D6B"/>
    <w:rsid w:val="00BB5421"/>
    <w:rsid w:val="00BC7AC6"/>
    <w:rsid w:val="00C007A4"/>
    <w:rsid w:val="00C07872"/>
    <w:rsid w:val="00C41AE9"/>
    <w:rsid w:val="00C42234"/>
    <w:rsid w:val="00C536BA"/>
    <w:rsid w:val="00C84BDB"/>
    <w:rsid w:val="00C93E4D"/>
    <w:rsid w:val="00CB3B8D"/>
    <w:rsid w:val="00CB5587"/>
    <w:rsid w:val="00CC4B0C"/>
    <w:rsid w:val="00CD4C33"/>
    <w:rsid w:val="00CD78D1"/>
    <w:rsid w:val="00CE5A2D"/>
    <w:rsid w:val="00D00EC6"/>
    <w:rsid w:val="00D02F0C"/>
    <w:rsid w:val="00D43011"/>
    <w:rsid w:val="00D620E0"/>
    <w:rsid w:val="00D80EDE"/>
    <w:rsid w:val="00D838B4"/>
    <w:rsid w:val="00D860B6"/>
    <w:rsid w:val="00D8686A"/>
    <w:rsid w:val="00D868D1"/>
    <w:rsid w:val="00DA5507"/>
    <w:rsid w:val="00DB7E33"/>
    <w:rsid w:val="00DC2055"/>
    <w:rsid w:val="00DC69BA"/>
    <w:rsid w:val="00DC7DFF"/>
    <w:rsid w:val="00DD171F"/>
    <w:rsid w:val="00E00E41"/>
    <w:rsid w:val="00E05F0A"/>
    <w:rsid w:val="00E100D2"/>
    <w:rsid w:val="00E245D5"/>
    <w:rsid w:val="00E33E5B"/>
    <w:rsid w:val="00E33F9F"/>
    <w:rsid w:val="00E4466E"/>
    <w:rsid w:val="00E44928"/>
    <w:rsid w:val="00E472D8"/>
    <w:rsid w:val="00E57FD2"/>
    <w:rsid w:val="00E769B4"/>
    <w:rsid w:val="00EB1F4D"/>
    <w:rsid w:val="00ED1271"/>
    <w:rsid w:val="00ED5B30"/>
    <w:rsid w:val="00EE221B"/>
    <w:rsid w:val="00EE61A4"/>
    <w:rsid w:val="00F01E8F"/>
    <w:rsid w:val="00F11998"/>
    <w:rsid w:val="00F129B1"/>
    <w:rsid w:val="00F12C25"/>
    <w:rsid w:val="00F16CFD"/>
    <w:rsid w:val="00F23565"/>
    <w:rsid w:val="00F27F84"/>
    <w:rsid w:val="00F35A83"/>
    <w:rsid w:val="00F44150"/>
    <w:rsid w:val="00F62ED0"/>
    <w:rsid w:val="00F63878"/>
    <w:rsid w:val="00F720B6"/>
    <w:rsid w:val="00F8688C"/>
    <w:rsid w:val="00F94A3E"/>
    <w:rsid w:val="00F96159"/>
    <w:rsid w:val="00FA117B"/>
    <w:rsid w:val="00FA1752"/>
    <w:rsid w:val="00FB2652"/>
    <w:rsid w:val="00FB72A5"/>
    <w:rsid w:val="00FC3B47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D45565"/>
  <w15:docId w15:val="{B69A4182-8768-4617-9438-C9CF25BD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  <w:style w:type="paragraph" w:styleId="BalloonText">
    <w:name w:val="Balloon Text"/>
    <w:basedOn w:val="Normal"/>
    <w:link w:val="BalloonTextChar"/>
    <w:rsid w:val="006D1D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1D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A439.FAC78090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CSF Oligoclonal Bands</vt:lpstr>
    </vt:vector>
  </TitlesOfParts>
  <Company>Basildon &amp; Thurrock GHT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CSF Oligoclonal Bands</dc:title>
  <dc:subject/>
  <dc:creator>Katherine Reade</dc:creator>
  <cp:keywords/>
  <cp:lastModifiedBy>Bayleigh Gardner</cp:lastModifiedBy>
  <cp:revision>9</cp:revision>
  <cp:lastPrinted>2013-05-21T17:03:00Z</cp:lastPrinted>
  <dcterms:created xsi:type="dcterms:W3CDTF">2018-09-07T14:41:00Z</dcterms:created>
  <dcterms:modified xsi:type="dcterms:W3CDTF">2023-09-13T10:35:00Z</dcterms:modified>
</cp:coreProperties>
</file>